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0" w:after="80"/>
        <w:jc w:val="center"/>
      </w:pPr>
      <w:r>
        <w:rPr>
          <w:rFonts w:ascii="Arial" w:cs="Arial" w:eastAsia="Arial" w:hAnsi="Arial"/>
          <w:b/>
          <w:bCs/>
          <w:color w:val="1F3864"/>
          <w:sz w:val="28"/>
          <w:szCs w:val="28"/>
        </w:rPr>
        <w:t xml:space="preserve">NovaMed Biosciences, Inc.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4"/>
              <w:bottom w:val="single" w:color="1F3864" w:sz="12"/>
              <w:right w:val="single" w:color="1F3864" w:sz="4"/>
            </w:tcBorders>
            <w:shd w:fill="EBF2FA" w:val="clear"/>
            <w:tcMar>
              <w:top w:type="dxa" w:w="240"/>
              <w:left w:type="dxa" w:w="360"/>
              <w:bottom w:type="dxa" w:w="240"/>
              <w:right w:type="dxa" w:w="360"/>
            </w:tcMar>
          </w:tcPr>
          <w:p>
            <w:pPr>
              <w:spacing w:before="40" w:after="40"/>
              <w:jc w:val="center"/>
            </w:pPr>
            <w:r>
              <w:rPr>
                <w:rFonts w:ascii="Arial" w:cs="Arial" w:eastAsia="Arial" w:hAnsi="Arial"/>
                <w:b/>
                <w:bCs/>
                <w:color w:val="1F3864"/>
                <w:sz w:val="28"/>
                <w:szCs w:val="28"/>
              </w:rPr>
              <w:t xml:space="preserve">CLINICAL STUDY PROTOCOL</w:t>
            </w:r>
          </w:p>
          <w:p>
            <w:pPr>
              <w:spacing w:before="40" w:after="40"/>
              <w:jc w:val="center"/>
            </w:pPr>
            <w:r>
              <w:rPr>
                <w:rFonts w:ascii="Arial" w:cs="Arial" w:eastAsia="Arial" w:hAnsi="Arial"/>
                <w:b/>
                <w:bCs/>
                <w:color w:val="333333"/>
                <w:sz w:val="26"/>
                <w:szCs w:val="26"/>
              </w:rPr>
              <w:t xml:space="preserve">Long-Term Safety Follow-Up Study</w:t>
            </w:r>
          </w:p>
          <w:p>
            <w:pPr>
              <w:spacing w:before="40" w:after="40"/>
              <w:jc w:val="center"/>
            </w:pPr>
            <w:r>
              <w:rPr>
                <w:rFonts w:ascii="Arial" w:cs="Arial" w:eastAsia="Arial" w:hAnsi="Arial"/>
                <w:sz w:val="20"/>
                <w:szCs w:val="20"/>
              </w:rPr>
              <w:t xml:space="preserve"/>
            </w:r>
          </w:p>
          <w:p>
            <w:pPr>
              <w:spacing w:before="40" w:after="40"/>
              <w:jc w:val="center"/>
            </w:pPr>
            <w:r>
              <w:rPr>
                <w:rFonts w:ascii="Arial" w:cs="Arial" w:eastAsia="Arial" w:hAnsi="Arial"/>
                <w:b/>
                <w:bCs/>
                <w:color w:val="555555"/>
                <w:sz w:val="20"/>
                <w:szCs w:val="20"/>
              </w:rPr>
              <w:t xml:space="preserve">Study Drug:</w:t>
            </w:r>
          </w:p>
          <w:p>
            <w:pPr>
              <w:spacing w:before="40" w:after="40"/>
              <w:jc w:val="center"/>
            </w:pPr>
            <w:r>
              <w:rPr>
                <w:rFonts w:ascii="Arial" w:cs="Arial" w:eastAsia="Arial" w:hAnsi="Arial"/>
                <w:color w:val="222222"/>
                <w:sz w:val="20"/>
                <w:szCs w:val="20"/>
              </w:rPr>
              <w:t xml:space="preserve">CERVIMAB (Anti-PD-1 Monoclonal Antibody)</w:t>
            </w:r>
          </w:p>
          <w:p>
            <w:pPr>
              <w:spacing w:before="40" w:after="40"/>
              <w:jc w:val="center"/>
            </w:pPr>
            <w:r>
              <w:rPr>
                <w:rFonts w:ascii="Arial" w:cs="Arial" w:eastAsia="Arial" w:hAnsi="Arial"/>
                <w:sz w:val="18"/>
                <w:szCs w:val="18"/>
              </w:rPr>
              <w:t xml:space="preserve"/>
            </w:r>
          </w:p>
          <w:p>
            <w:pPr>
              <w:spacing w:before="40" w:after="40"/>
              <w:jc w:val="center"/>
            </w:pPr>
            <w:r>
              <w:rPr>
                <w:rFonts w:ascii="Arial" w:cs="Arial" w:eastAsia="Arial" w:hAnsi="Arial"/>
                <w:b/>
                <w:bCs/>
                <w:color w:val="555555"/>
                <w:sz w:val="20"/>
                <w:szCs w:val="20"/>
              </w:rPr>
              <w:t xml:space="preserve">Indication:</w:t>
            </w:r>
          </w:p>
          <w:p>
            <w:pPr>
              <w:spacing w:before="40" w:after="40"/>
              <w:jc w:val="center"/>
            </w:pPr>
            <w:r>
              <w:rPr>
                <w:rFonts w:ascii="Arial" w:cs="Arial" w:eastAsia="Arial" w:hAnsi="Arial"/>
                <w:color w:val="222222"/>
                <w:sz w:val="20"/>
                <w:szCs w:val="20"/>
              </w:rPr>
              <w:t xml:space="preserve">dMMR/MSI-H Metastatic Colorectal Cancer</w:t>
            </w:r>
          </w:p>
          <w:p>
            <w:pPr>
              <w:spacing w:before="40" w:after="40"/>
              <w:jc w:val="center"/>
            </w:pPr>
            <w:r>
              <w:rPr>
                <w:rFonts w:ascii="Arial" w:cs="Arial" w:eastAsia="Arial" w:hAnsi="Arial"/>
                <w:sz w:val="18"/>
                <w:szCs w:val="18"/>
              </w:rPr>
              <w:t xml:space="preserve"/>
            </w:r>
          </w:p>
          <w:p>
            <w:pPr>
              <w:spacing w:before="40" w:after="40"/>
              <w:jc w:val="center"/>
            </w:pPr>
            <w:r>
              <w:rPr>
                <w:rFonts w:ascii="Arial" w:cs="Arial" w:eastAsia="Arial" w:hAnsi="Arial"/>
                <w:b/>
                <w:bCs/>
                <w:color w:val="555555"/>
                <w:sz w:val="20"/>
                <w:szCs w:val="20"/>
              </w:rPr>
              <w:t xml:space="preserve">Protocol Number:</w:t>
            </w:r>
          </w:p>
          <w:p>
            <w:pPr>
              <w:spacing w:before="40" w:after="40"/>
              <w:jc w:val="center"/>
            </w:pPr>
            <w:r>
              <w:rPr>
                <w:rFonts w:ascii="Arial" w:cs="Arial" w:eastAsia="Arial" w:hAnsi="Arial"/>
                <w:color w:val="222222"/>
                <w:sz w:val="20"/>
                <w:szCs w:val="20"/>
              </w:rPr>
              <w:t xml:space="preserve">CER-LTS-001</w:t>
            </w:r>
          </w:p>
          <w:p>
            <w:pPr>
              <w:spacing w:before="40" w:after="40"/>
              <w:jc w:val="center"/>
            </w:pPr>
            <w:r>
              <w:rPr>
                <w:rFonts w:ascii="Arial" w:cs="Arial" w:eastAsia="Arial" w:hAnsi="Arial"/>
                <w:b/>
                <w:bCs/>
                <w:color w:val="555555"/>
                <w:sz w:val="20"/>
                <w:szCs w:val="20"/>
              </w:rPr>
              <w:t xml:space="preserve">Phase:</w:t>
            </w:r>
          </w:p>
          <w:p>
            <w:pPr>
              <w:spacing w:before="40" w:after="40"/>
              <w:jc w:val="center"/>
            </w:pPr>
            <w:r>
              <w:rPr>
                <w:rFonts w:ascii="Arial" w:cs="Arial" w:eastAsia="Arial" w:hAnsi="Arial"/>
                <w:color w:val="222222"/>
                <w:sz w:val="20"/>
                <w:szCs w:val="20"/>
              </w:rPr>
              <w:t xml:space="preserve">Phase 3 — Long-Term Safety Extension</w:t>
            </w:r>
          </w:p>
          <w:p>
            <w:pPr>
              <w:spacing w:before="40" w:after="40"/>
              <w:jc w:val="center"/>
            </w:pPr>
            <w:r>
              <w:rPr>
                <w:rFonts w:ascii="Arial" w:cs="Arial" w:eastAsia="Arial" w:hAnsi="Arial"/>
                <w:b/>
                <w:bCs/>
                <w:color w:val="555555"/>
                <w:sz w:val="20"/>
                <w:szCs w:val="20"/>
              </w:rPr>
              <w:t xml:space="preserve">Version:</w:t>
            </w:r>
          </w:p>
          <w:p>
            <w:pPr>
              <w:spacing w:before="40" w:after="40"/>
              <w:jc w:val="center"/>
            </w:pPr>
            <w:r>
              <w:rPr>
                <w:rFonts w:ascii="Arial" w:cs="Arial" w:eastAsia="Arial" w:hAnsi="Arial"/>
                <w:color w:val="222222"/>
                <w:sz w:val="20"/>
                <w:szCs w:val="20"/>
              </w:rPr>
              <w:t xml:space="preserve">Version 1.0  |  Date: [DRAFT — NOT FOR CLINICAL USE]</w:t>
            </w:r>
          </w:p>
          <w:p>
            <w:pPr>
              <w:spacing w:before="40" w:after="40"/>
              <w:jc w:val="center"/>
            </w:pPr>
            <w:r>
              <w:rPr>
                <w:rFonts w:ascii="Arial" w:cs="Arial" w:eastAsia="Arial" w:hAnsi="Arial"/>
                <w:sz w:val="18"/>
                <w:szCs w:val="18"/>
              </w:rPr>
              <w:t xml:space="preserve"/>
            </w:r>
          </w:p>
          <w:p>
            <w:pPr>
              <w:spacing w:before="40" w:after="40"/>
              <w:jc w:val="center"/>
            </w:pPr>
            <w:r>
              <w:rPr>
                <w:rFonts w:ascii="Arial" w:cs="Arial" w:eastAsia="Arial" w:hAnsi="Arial"/>
                <w:b/>
                <w:bCs/>
                <w:color w:val="8B0000"/>
                <w:sz w:val="18"/>
                <w:szCs w:val="18"/>
              </w:rPr>
              <w:t xml:space="preserve">CONFIDENTIAL — FOR REGULATORY SUBMISSION ONLY</w:t>
            </w:r>
          </w:p>
        </w:tc>
      </w:tr>
    </w:tbl>
    <w:p>
      <w:pPr>
        <w:spacing w:before="60" w:after="60"/>
      </w:pPr>
      <w:r>
        <w:t xml:space="preserve"/>
      </w:r>
    </w:p>
    <w:p>
      <w:pPr>
        <w:spacing w:before="60" w:after="60"/>
      </w:pPr>
      <w:r>
        <w:t xml:space="preserve"/>
      </w:r>
    </w:p>
    <w:p>
      <w:pPr>
        <w:spacing w:before="40" w:after="40"/>
        <w:jc w:val="center"/>
      </w:pPr>
      <w:r>
        <w:rPr>
          <w:rFonts w:ascii="Arial" w:cs="Arial" w:eastAsia="Arial" w:hAnsi="Arial"/>
          <w:color w:val="555555"/>
          <w:sz w:val="18"/>
          <w:szCs w:val="18"/>
        </w:rPr>
        <w:t xml:space="preserve">IND Number: [XXXXX]   |   EudraCT: [YYYY-XXXXXX-XX]</w:t>
      </w:r>
    </w:p>
    <w:p>
      <w:pPr>
        <w:spacing w:before="40" w:after="80"/>
        <w:jc w:val="center"/>
      </w:pPr>
      <w:r>
        <w:rPr>
          <w:rFonts w:ascii="Arial" w:cs="Arial" w:eastAsia="Arial" w:hAnsi="Arial"/>
          <w:color w:val="555555"/>
          <w:sz w:val="18"/>
          <w:szCs w:val="18"/>
        </w:rPr>
        <w:t xml:space="preserve">Sponsor: NovaMed Biosciences, Inc.  |  Medical Monitor: [Name, MD]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DECEA" w:val="clear"/>
            <w:tcMar>
              <w:top w:type="dxa" w:w="100"/>
              <w:left w:type="dxa" w:w="160"/>
              <w:bottom w:type="dxa" w:w="100"/>
              <w:right w:type="dxa" w:w="160"/>
            </w:tcMar>
          </w:tcPr>
          <w:p>
            <w:pPr>
              <w:spacing w:before="40" w:after="40"/>
            </w:pPr>
            <w:r>
              <w:rPr>
                <w:rFonts w:ascii="Arial" w:cs="Arial" w:eastAsia="Arial" w:hAnsi="Arial"/>
                <w:b/>
                <w:bCs/>
                <w:color w:val="8B0000"/>
                <w:sz w:val="18"/>
                <w:szCs w:val="18"/>
              </w:rPr>
              <w:t xml:space="preserve">WARNING: </w:t>
            </w:r>
            <w:r>
              <w:rPr>
                <w:rFonts w:ascii="Arial" w:cs="Arial" w:eastAsia="Arial" w:hAnsi="Arial"/>
                <w:color w:val="5C0000"/>
                <w:sz w:val="18"/>
                <w:szCs w:val="18"/>
              </w:rPr>
              <w:t xml:space="preserve">This document is an investigational protocol prepared per 21 CFR Parts 50, 54, 56, and 312, ICH E6(R2) GCP, ICH E2E, and ICH E14 guidelines. All data, subject numbers, and institutional details are FICTIONAL and for illustrative/regulatory training purposes only.</w:t>
            </w:r>
          </w:p>
        </w:tc>
      </w:tr>
    </w:tbl>
    <w:p>
      <w:pPr>
        <w:spacing w:before="60" w:after="60"/>
      </w:pPr>
      <w:r>
        <w:t xml:space="preserve"/>
      </w:r>
    </w:p>
    <w:p>
      <w:pPr>
        <w:pStyle w:val="Heading1"/>
        <w:pBdr>
          <w:bottom w:val="single" w:color="1F3864" w:sz="8" w:space="4"/>
        </w:pBdr>
        <w:spacing w:before="320" w:after="160"/>
      </w:pPr>
      <w:r>
        <w:rPr>
          <w:rFonts w:ascii="Arial" w:cs="Arial" w:eastAsia="Arial" w:hAnsi="Arial"/>
          <w:b/>
          <w:bCs/>
          <w:color w:val="1F3864"/>
          <w:sz w:val="28"/>
          <w:szCs w:val="28"/>
        </w:rPr>
        <w:t xml:space="preserve">1. PROTOCOL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Title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Long-Term Safety Follow-Up of CERVIMAB in Subjects with dMMR/MSI-H Metastatic Colorectal Cancer Following Completion or Discontinuation of the CER-301 Phase 3 Pivotal Study</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Protocol Number</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CER-LTS-001</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Phase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Phase 3 — Safety Extension</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Drug</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CERVIMAB (Anti-PD-1 mAb), 400 mg IV Q6W</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Indication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dMMR/MSI-H Metastatic Colorectal Cancer (mCRC)</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Design</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Multicenter, observational, long-term safety follow-up with optional continued treatment arm</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Primary Objective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Characterize the long-term safety profile including delayed/late-onset irAEs, secondary malignancies, infections, and mortality over a minimum 5-year follow-up period</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Secondary Objectives</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Evaluate long-term immune function, autoimmune sequelae, HRQoL, overall survival, and duration of response post-treatment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Population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All subjects who received ≥1 dose of CERVIMAB in CER-301 and provide informed consent for long-term follow-up</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Sample Size</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Up to N=420 subjects (all CER-301 participants)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Follow-Up Duration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Minimum 5 years from last CERVIMAB dose; up to 10 years for subjects with ongoing response</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Regulatory Authority</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U.S. FDA (21 CFR Part 312), EMA, ICH E2E</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2. BACKGROUND AND RATIONALE</w:t>
      </w:r>
    </w:p>
    <w:p>
      <w:pPr>
        <w:pStyle w:val="Heading2"/>
        <w:spacing w:before="240" w:after="120"/>
      </w:pPr>
      <w:r>
        <w:rPr>
          <w:rFonts w:ascii="Arial" w:cs="Arial" w:eastAsia="Arial" w:hAnsi="Arial"/>
          <w:b/>
          <w:bCs/>
          <w:color w:val="2E5F9E"/>
          <w:sz w:val="24"/>
          <w:szCs w:val="24"/>
        </w:rPr>
        <w:t xml:space="preserve">2.1  Disease Background</w:t>
      </w:r>
    </w:p>
    <w:p>
      <w:pPr>
        <w:spacing w:before="60" w:after="60"/>
      </w:pPr>
      <w:r>
        <w:rPr>
          <w:rFonts w:ascii="Arial" w:cs="Arial" w:eastAsia="Arial" w:hAnsi="Arial"/>
          <w:b w:val="false"/>
          <w:bCs w:val="false"/>
          <w:color w:val="111111"/>
          <w:sz w:val="20"/>
          <w:szCs w:val="20"/>
        </w:rPr>
        <w:t xml:space="preserve">Colorectal cancer (CRC) is the third most commonly diagnosed cancer and the second leading cause of cancer-related mortality in the United States, with approximately 153,000 new cases annually. Metastatic CRC (mCRC) carries a 5-year survival rate of approximately 14%. Approximately 4–5% of unselected mCRC cases harbor deficient mismatch repair (dMMR) or high microsatellite instability (MSI-H), a biomarker associated with elevated tumor mutational burden, high immunogenicity, and markedly enhanced sensitivity to immune checkpoint inhibitor therapy.</w:t>
      </w:r>
    </w:p>
    <w:p>
      <w:pPr>
        <w:spacing w:before="60" w:after="60"/>
      </w:pPr>
      <w:r>
        <w:t xml:space="preserve"/>
      </w:r>
    </w:p>
    <w:p>
      <w:pPr>
        <w:spacing w:before="60" w:after="60"/>
      </w:pPr>
      <w:r>
        <w:rPr>
          <w:rFonts w:ascii="Arial" w:cs="Arial" w:eastAsia="Arial" w:hAnsi="Arial"/>
          <w:b w:val="false"/>
          <w:bCs w:val="false"/>
          <w:color w:val="111111"/>
          <w:sz w:val="20"/>
          <w:szCs w:val="20"/>
        </w:rPr>
        <w:t xml:space="preserve">PD-1/PD-L1 axis inhibition has demonstrated robust and durable clinical responses in dMMR/MSI-H mCRC. The pivotal Phase 3 CER-301 study established that CERVIMAB significantly prolongs progression-free survival versus standard-of-care chemotherapy (FOLFOX/FOLFIRI + bevacizumab). Given the potential for durable remissions, some subjects may continue CERVIMAB for extended periods or may require ongoing safety surveillance for delayed immune-related adverse events (irAEs) following treatment discontinuation.</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2.2  Rationale for Long-Term Safety Follow-Up</w:t>
      </w:r>
    </w:p>
    <w:p>
      <w:pPr>
        <w:spacing w:before="60" w:after="60"/>
      </w:pPr>
      <w:r>
        <w:rPr>
          <w:rFonts w:ascii="Arial" w:cs="Arial" w:eastAsia="Arial" w:hAnsi="Arial"/>
          <w:b w:val="false"/>
          <w:bCs w:val="false"/>
          <w:color w:val="111111"/>
          <w:sz w:val="20"/>
          <w:szCs w:val="20"/>
        </w:rPr>
        <w:t xml:space="preserve">Anti-PD-1 therapy is associated with a broad spectrum of immune-related adverse events (irAEs) that can occur at any time during or after treatment. Key safety considerations warranting systematic long-term follow-up include:</w:t>
      </w:r>
    </w:p>
    <w:p>
      <w:pPr>
        <w:spacing w:before="60" w:after="60"/>
      </w:pPr>
      <w:r>
        <w:t xml:space="preserve"/>
      </w:r>
    </w:p>
    <w:p>
      <w:pPr>
        <w:pStyle w:val="ListParagraph"/>
        <w:numPr>
          <w:ilvl w:val="0"/>
          <w:numId w:val="2"/>
        </w:numPr>
        <w:spacing w:before="40" w:after="40"/>
      </w:pPr>
      <w:r>
        <w:rPr>
          <w:rFonts w:ascii="Arial" w:cs="Arial" w:eastAsia="Arial" w:hAnsi="Arial"/>
          <w:sz w:val="20"/>
          <w:szCs w:val="20"/>
        </w:rPr>
        <w:t xml:space="preserve">Late-onset irAEs (endocrinopathies, pneumonitis, colitis, hepatitis, nephritis) that may manifest months to years after last dose</w:t>
      </w:r>
    </w:p>
    <w:p>
      <w:pPr>
        <w:pStyle w:val="ListParagraph"/>
        <w:numPr>
          <w:ilvl w:val="0"/>
          <w:numId w:val="2"/>
        </w:numPr>
        <w:spacing w:before="40" w:after="40"/>
      </w:pPr>
      <w:r>
        <w:rPr>
          <w:rFonts w:ascii="Arial" w:cs="Arial" w:eastAsia="Arial" w:hAnsi="Arial"/>
          <w:sz w:val="20"/>
          <w:szCs w:val="20"/>
        </w:rPr>
        <w:t xml:space="preserve">Persistent or chronic irAEs requiring ongoing immunosuppressive management</w:t>
      </w:r>
    </w:p>
    <w:p>
      <w:pPr>
        <w:pStyle w:val="ListParagraph"/>
        <w:numPr>
          <w:ilvl w:val="0"/>
          <w:numId w:val="2"/>
        </w:numPr>
        <w:spacing w:before="40" w:after="40"/>
      </w:pPr>
      <w:r>
        <w:rPr>
          <w:rFonts w:ascii="Arial" w:cs="Arial" w:eastAsia="Arial" w:hAnsi="Arial"/>
          <w:sz w:val="20"/>
          <w:szCs w:val="20"/>
        </w:rPr>
        <w:t xml:space="preserve">Secondary malignancies associated with chronic immune dysregulation</w:t>
      </w:r>
    </w:p>
    <w:p>
      <w:pPr>
        <w:pStyle w:val="ListParagraph"/>
        <w:numPr>
          <w:ilvl w:val="0"/>
          <w:numId w:val="2"/>
        </w:numPr>
        <w:spacing w:before="40" w:after="40"/>
      </w:pPr>
      <w:r>
        <w:rPr>
          <w:rFonts w:ascii="Arial" w:cs="Arial" w:eastAsia="Arial" w:hAnsi="Arial"/>
          <w:sz w:val="20"/>
          <w:szCs w:val="20"/>
        </w:rPr>
        <w:t xml:space="preserve">Rare but serious delayed events: aplastic anemia, myocarditis, encephalitis, Guillain-Barré syndrome</w:t>
      </w:r>
    </w:p>
    <w:p>
      <w:pPr>
        <w:pStyle w:val="ListParagraph"/>
        <w:numPr>
          <w:ilvl w:val="0"/>
          <w:numId w:val="2"/>
        </w:numPr>
        <w:spacing w:before="40" w:after="40"/>
      </w:pPr>
      <w:r>
        <w:rPr>
          <w:rFonts w:ascii="Arial" w:cs="Arial" w:eastAsia="Arial" w:hAnsi="Arial"/>
          <w:sz w:val="20"/>
          <w:szCs w:val="20"/>
        </w:rPr>
        <w:t xml:space="preserve">Impact of prior irAE treatment (systemic corticosteroids, biologics) on long-term immune function</w:t>
      </w:r>
    </w:p>
    <w:p>
      <w:pPr>
        <w:pStyle w:val="ListParagraph"/>
        <w:numPr>
          <w:ilvl w:val="0"/>
          <w:numId w:val="2"/>
        </w:numPr>
        <w:spacing w:before="40" w:after="40"/>
      </w:pPr>
      <w:r>
        <w:rPr>
          <w:rFonts w:ascii="Arial" w:cs="Arial" w:eastAsia="Arial" w:hAnsi="Arial"/>
          <w:sz w:val="20"/>
          <w:szCs w:val="20"/>
        </w:rPr>
        <w:t xml:space="preserve">Infections resulting from persistent immunosuppression</w:t>
      </w:r>
    </w:p>
    <w:p>
      <w:pPr>
        <w:spacing w:before="60" w:after="60"/>
      </w:pPr>
      <w:r>
        <w:t xml:space="preserve"/>
      </w:r>
    </w:p>
    <w:p>
      <w:pPr>
        <w:spacing w:before="60" w:after="60"/>
      </w:pPr>
      <w:r>
        <w:rPr>
          <w:rFonts w:ascii="Arial" w:cs="Arial" w:eastAsia="Arial" w:hAnsi="Arial"/>
          <w:b w:val="false"/>
          <w:bCs w:val="false"/>
          <w:color w:val="111111"/>
          <w:sz w:val="20"/>
          <w:szCs w:val="20"/>
        </w:rPr>
        <w:t xml:space="preserve">This Long-Term Safety Follow-Up (LTSF) protocol satisfies the FDA requirement under 21 CFR §312.32 and Guidance for Industry: Long-Term Follow-Up After Administration of Human Gene Therapy Products (where applicable), as well as ICH E2E pharmacovigilance planning obligations for novel biologics with a mechanistically immunomodulatory mechanism of action.</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3. STUDY OBJECTIVES AND ENDPOINTS</w:t>
      </w:r>
    </w:p>
    <w:p>
      <w:pPr>
        <w:pStyle w:val="Heading2"/>
        <w:spacing w:before="240" w:after="120"/>
      </w:pPr>
      <w:r>
        <w:rPr>
          <w:rFonts w:ascii="Arial" w:cs="Arial" w:eastAsia="Arial" w:hAnsi="Arial"/>
          <w:b/>
          <w:bCs/>
          <w:color w:val="2E5F9E"/>
          <w:sz w:val="24"/>
          <w:szCs w:val="24"/>
        </w:rPr>
        <w:t xml:space="preserve">3.1  Primary Safety Objective</w:t>
      </w:r>
    </w:p>
    <w:p>
      <w:pPr>
        <w:spacing w:before="60" w:after="60"/>
      </w:pPr>
      <w:r>
        <w:rPr>
          <w:rFonts w:ascii="Arial" w:cs="Arial" w:eastAsia="Arial" w:hAnsi="Arial"/>
          <w:b w:val="false"/>
          <w:bCs w:val="false"/>
          <w:color w:val="111111"/>
          <w:sz w:val="20"/>
          <w:szCs w:val="20"/>
        </w:rPr>
        <w:t xml:space="preserve">To characterize the cumulative incidence, severity, time-to-onset, resolution, and clinical management of long-term and late-onset adverse events attributable to CERVIMAB, including immune-related adverse events (irAEs), in subjects with dMMR/MSI-H mCRC over a minimum 5-year follow-up period.</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3.2  Primary Safety Endpoints</w:t>
      </w:r>
    </w:p>
    <w:p>
      <w:pPr>
        <w:pStyle w:val="ListParagraph"/>
        <w:numPr>
          <w:ilvl w:val="0"/>
          <w:numId w:val="2"/>
        </w:numPr>
        <w:spacing w:before="40" w:after="40"/>
      </w:pPr>
      <w:r>
        <w:rPr>
          <w:rFonts w:ascii="Arial" w:cs="Arial" w:eastAsia="Arial" w:hAnsi="Arial"/>
          <w:sz w:val="20"/>
          <w:szCs w:val="20"/>
        </w:rPr>
        <w:t xml:space="preserve">Incidence, severity (per CTCAE v5.0), and time-to-onset of any-grade and Grade ≥3 irAEs emerging ≥90 days after last CERVIMAB dose</w:t>
      </w:r>
    </w:p>
    <w:p>
      <w:pPr>
        <w:pStyle w:val="ListParagraph"/>
        <w:numPr>
          <w:ilvl w:val="0"/>
          <w:numId w:val="2"/>
        </w:numPr>
        <w:spacing w:before="40" w:after="40"/>
      </w:pPr>
      <w:r>
        <w:rPr>
          <w:rFonts w:ascii="Arial" w:cs="Arial" w:eastAsia="Arial" w:hAnsi="Arial"/>
          <w:sz w:val="20"/>
          <w:szCs w:val="20"/>
        </w:rPr>
        <w:t xml:space="preserve">Incidence of new-onset autoimmune conditions (e.g., type 1 diabetes mellitus, thyroid dysfunction, adrenal insufficiency, autoimmune hepatitis, inflammatory bowel disease)</w:t>
      </w:r>
    </w:p>
    <w:p>
      <w:pPr>
        <w:pStyle w:val="ListParagraph"/>
        <w:numPr>
          <w:ilvl w:val="0"/>
          <w:numId w:val="2"/>
        </w:numPr>
        <w:spacing w:before="40" w:after="40"/>
      </w:pPr>
      <w:r>
        <w:rPr>
          <w:rFonts w:ascii="Arial" w:cs="Arial" w:eastAsia="Arial" w:hAnsi="Arial"/>
          <w:sz w:val="20"/>
          <w:szCs w:val="20"/>
        </w:rPr>
        <w:t xml:space="preserve">All-cause mortality and cause-specific mortality</w:t>
      </w:r>
    </w:p>
    <w:p>
      <w:pPr>
        <w:pStyle w:val="ListParagraph"/>
        <w:numPr>
          <w:ilvl w:val="0"/>
          <w:numId w:val="2"/>
        </w:numPr>
        <w:spacing w:before="40" w:after="40"/>
      </w:pPr>
      <w:r>
        <w:rPr>
          <w:rFonts w:ascii="Arial" w:cs="Arial" w:eastAsia="Arial" w:hAnsi="Arial"/>
          <w:sz w:val="20"/>
          <w:szCs w:val="20"/>
        </w:rPr>
        <w:t xml:space="preserve">Incidence of new primary malignancies</w:t>
      </w:r>
    </w:p>
    <w:p>
      <w:pPr>
        <w:pStyle w:val="ListParagraph"/>
        <w:numPr>
          <w:ilvl w:val="0"/>
          <w:numId w:val="2"/>
        </w:numPr>
        <w:spacing w:before="40" w:after="40"/>
      </w:pPr>
      <w:r>
        <w:rPr>
          <w:rFonts w:ascii="Arial" w:cs="Arial" w:eastAsia="Arial" w:hAnsi="Arial"/>
          <w:sz w:val="20"/>
          <w:szCs w:val="20"/>
        </w:rPr>
        <w:t xml:space="preserve">Incidence of serious infections (Grade ≥3 or requiring hospitalization)</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3.3  Secondary Objectives and Endpoints</w:t>
      </w:r>
    </w:p>
    <w:p>
      <w:pPr>
        <w:spacing w:before="60" w:after="60"/>
      </w:pPr>
      <w:r>
        <w:rPr>
          <w:rFonts w:ascii="Arial" w:cs="Arial" w:eastAsia="Arial" w:hAnsi="Arial"/>
          <w:b w:val="false"/>
          <w:bCs w:val="false"/>
          <w:color w:val="111111"/>
          <w:sz w:val="20"/>
          <w:szCs w:val="20"/>
        </w:rPr>
        <w:t xml:space="preserve">Secondary safety endpoints include:</w:t>
      </w:r>
    </w:p>
    <w:p>
      <w:pPr>
        <w:pStyle w:val="ListParagraph"/>
        <w:numPr>
          <w:ilvl w:val="0"/>
          <w:numId w:val="2"/>
        </w:numPr>
        <w:spacing w:before="40" w:after="40"/>
      </w:pPr>
      <w:r>
        <w:rPr>
          <w:rFonts w:ascii="Arial" w:cs="Arial" w:eastAsia="Arial" w:hAnsi="Arial"/>
          <w:sz w:val="20"/>
          <w:szCs w:val="20"/>
        </w:rPr>
        <w:t xml:space="preserve">Duration and resolution of irAEs requiring systemic corticosteroids or immunosuppressive agents</w:t>
      </w:r>
    </w:p>
    <w:p>
      <w:pPr>
        <w:pStyle w:val="ListParagraph"/>
        <w:numPr>
          <w:ilvl w:val="0"/>
          <w:numId w:val="2"/>
        </w:numPr>
        <w:spacing w:before="40" w:after="40"/>
      </w:pPr>
      <w:r>
        <w:rPr>
          <w:rFonts w:ascii="Arial" w:cs="Arial" w:eastAsia="Arial" w:hAnsi="Arial"/>
          <w:sz w:val="20"/>
          <w:szCs w:val="20"/>
        </w:rPr>
        <w:t xml:space="preserve">Cumulative exposure to corticosteroids (mg prednisone-equivalent) and immunosuppressive biologics (infliximab, mycophenolate) in the follow-up period</w:t>
      </w:r>
    </w:p>
    <w:p>
      <w:pPr>
        <w:pStyle w:val="ListParagraph"/>
        <w:numPr>
          <w:ilvl w:val="0"/>
          <w:numId w:val="2"/>
        </w:numPr>
        <w:spacing w:before="40" w:after="40"/>
      </w:pPr>
      <w:r>
        <w:rPr>
          <w:rFonts w:ascii="Arial" w:cs="Arial" w:eastAsia="Arial" w:hAnsi="Arial"/>
          <w:sz w:val="20"/>
          <w:szCs w:val="20"/>
        </w:rPr>
        <w:t xml:space="preserve">Laboratory abnormalities: thyroid function (TSH, free T4), cortisol/ACTH stimulation, liver enzymes (ALT, AST), creatinine/eGFR, CBC with differential</w:t>
      </w:r>
    </w:p>
    <w:p>
      <w:pPr>
        <w:pStyle w:val="ListParagraph"/>
        <w:numPr>
          <w:ilvl w:val="0"/>
          <w:numId w:val="2"/>
        </w:numPr>
        <w:spacing w:before="40" w:after="40"/>
      </w:pPr>
      <w:r>
        <w:rPr>
          <w:rFonts w:ascii="Arial" w:cs="Arial" w:eastAsia="Arial" w:hAnsi="Arial"/>
          <w:sz w:val="20"/>
          <w:szCs w:val="20"/>
        </w:rPr>
        <w:t xml:space="preserve">Immune reconstitution markers: CD4+/CD8+ T-cell counts, immunoglobulin levels (IgG, IgA, IgM) at Years 1, 3, and 5</w:t>
      </w:r>
    </w:p>
    <w:p>
      <w:pPr>
        <w:spacing w:before="60" w:after="60"/>
      </w:pPr>
      <w:r>
        <w:t xml:space="preserve"/>
      </w:r>
    </w:p>
    <w:p>
      <w:pPr>
        <w:spacing w:before="60" w:after="60"/>
      </w:pPr>
      <w:r>
        <w:rPr>
          <w:rFonts w:ascii="Arial" w:cs="Arial" w:eastAsia="Arial" w:hAnsi="Arial"/>
          <w:b w:val="false"/>
          <w:bCs w:val="false"/>
          <w:color w:val="111111"/>
          <w:sz w:val="20"/>
          <w:szCs w:val="20"/>
        </w:rPr>
        <w:t xml:space="preserve">Secondary efficacy endpoints include:</w:t>
      </w:r>
    </w:p>
    <w:p>
      <w:pPr>
        <w:pStyle w:val="ListParagraph"/>
        <w:numPr>
          <w:ilvl w:val="0"/>
          <w:numId w:val="2"/>
        </w:numPr>
        <w:spacing w:before="40" w:after="40"/>
      </w:pPr>
      <w:r>
        <w:rPr>
          <w:rFonts w:ascii="Arial" w:cs="Arial" w:eastAsia="Arial" w:hAnsi="Arial"/>
          <w:sz w:val="20"/>
          <w:szCs w:val="20"/>
        </w:rPr>
        <w:t xml:space="preserve">Overall survival (OS) from first CERVIMAB dose</w:t>
      </w:r>
    </w:p>
    <w:p>
      <w:pPr>
        <w:pStyle w:val="ListParagraph"/>
        <w:numPr>
          <w:ilvl w:val="0"/>
          <w:numId w:val="2"/>
        </w:numPr>
        <w:spacing w:before="40" w:after="40"/>
      </w:pPr>
      <w:r>
        <w:rPr>
          <w:rFonts w:ascii="Arial" w:cs="Arial" w:eastAsia="Arial" w:hAnsi="Arial"/>
          <w:sz w:val="20"/>
          <w:szCs w:val="20"/>
        </w:rPr>
        <w:t xml:space="preserve">Duration of response (DoR) per RECIST v1.1 in subjects with prior objective response</w:t>
      </w:r>
    </w:p>
    <w:p>
      <w:pPr>
        <w:pStyle w:val="ListParagraph"/>
        <w:numPr>
          <w:ilvl w:val="0"/>
          <w:numId w:val="2"/>
        </w:numPr>
        <w:spacing w:before="40" w:after="40"/>
      </w:pPr>
      <w:r>
        <w:rPr>
          <w:rFonts w:ascii="Arial" w:cs="Arial" w:eastAsia="Arial" w:hAnsi="Arial"/>
          <w:sz w:val="20"/>
          <w:szCs w:val="20"/>
        </w:rPr>
        <w:t xml:space="preserve">Proportion of subjects alive and progression-free at Years 1, 2, 3, and 5</w:t>
      </w:r>
    </w:p>
    <w:p>
      <w:pPr>
        <w:spacing w:before="60" w:after="60"/>
      </w:pPr>
      <w:r>
        <w:t xml:space="preserve"/>
      </w:r>
    </w:p>
    <w:p>
      <w:pPr>
        <w:spacing w:before="60" w:after="60"/>
      </w:pPr>
      <w:r>
        <w:rPr>
          <w:rFonts w:ascii="Arial" w:cs="Arial" w:eastAsia="Arial" w:hAnsi="Arial"/>
          <w:b w:val="false"/>
          <w:bCs w:val="false"/>
          <w:color w:val="111111"/>
          <w:sz w:val="20"/>
          <w:szCs w:val="20"/>
        </w:rPr>
        <w:t xml:space="preserve">Patient-reported outcomes:</w:t>
      </w:r>
    </w:p>
    <w:p>
      <w:pPr>
        <w:pStyle w:val="ListParagraph"/>
        <w:numPr>
          <w:ilvl w:val="0"/>
          <w:numId w:val="2"/>
        </w:numPr>
        <w:spacing w:before="40" w:after="40"/>
      </w:pPr>
      <w:r>
        <w:rPr>
          <w:rFonts w:ascii="Arial" w:cs="Arial" w:eastAsia="Arial" w:hAnsi="Arial"/>
          <w:sz w:val="20"/>
          <w:szCs w:val="20"/>
        </w:rPr>
        <w:t xml:space="preserve">EQ-5D-5L Health Utility Index at each annual visit</w:t>
      </w:r>
    </w:p>
    <w:p>
      <w:pPr>
        <w:pStyle w:val="ListParagraph"/>
        <w:numPr>
          <w:ilvl w:val="0"/>
          <w:numId w:val="2"/>
        </w:numPr>
        <w:spacing w:before="40" w:after="40"/>
      </w:pPr>
      <w:r>
        <w:rPr>
          <w:rFonts w:ascii="Arial" w:cs="Arial" w:eastAsia="Arial" w:hAnsi="Arial"/>
          <w:sz w:val="20"/>
          <w:szCs w:val="20"/>
        </w:rPr>
        <w:t xml:space="preserve">FACT-C (Functional Assessment of Cancer Therapy — Colorectal) at each annual visit</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4. STUDY POPULATION</w:t>
      </w:r>
    </w:p>
    <w:p>
      <w:pPr>
        <w:pStyle w:val="Heading2"/>
        <w:spacing w:before="240" w:after="120"/>
      </w:pPr>
      <w:r>
        <w:rPr>
          <w:rFonts w:ascii="Arial" w:cs="Arial" w:eastAsia="Arial" w:hAnsi="Arial"/>
          <w:b/>
          <w:bCs/>
          <w:color w:val="2E5F9E"/>
          <w:sz w:val="24"/>
          <w:szCs w:val="24"/>
        </w:rPr>
        <w:t xml:space="preserve">4.1  Inclusion Criteria</w:t>
      </w:r>
    </w:p>
    <w:p>
      <w:pPr>
        <w:spacing w:before="60" w:after="60"/>
      </w:pPr>
      <w:r>
        <w:rPr>
          <w:rFonts w:ascii="Arial" w:cs="Arial" w:eastAsia="Arial" w:hAnsi="Arial"/>
          <w:b w:val="false"/>
          <w:bCs w:val="false"/>
          <w:color w:val="111111"/>
          <w:sz w:val="20"/>
          <w:szCs w:val="20"/>
        </w:rPr>
        <w:t xml:space="preserve">Subjects must meet ALL of the following criteria:</w:t>
      </w:r>
    </w:p>
    <w:p>
      <w:pPr>
        <w:pStyle w:val="ListParagraph"/>
        <w:numPr>
          <w:ilvl w:val="0"/>
          <w:numId w:val="3"/>
        </w:numPr>
        <w:spacing w:before="40" w:after="40"/>
      </w:pPr>
      <w:r>
        <w:rPr>
          <w:rFonts w:ascii="Arial" w:cs="Arial" w:eastAsia="Arial" w:hAnsi="Arial"/>
          <w:sz w:val="20"/>
          <w:szCs w:val="20"/>
        </w:rPr>
        <w:t xml:space="preserve">Enrollment in and receipt of ≥1 dose of CERVIMAB in the parent CER-301 Phase 3 study</w:t>
      </w:r>
    </w:p>
    <w:p>
      <w:pPr>
        <w:pStyle w:val="ListParagraph"/>
        <w:numPr>
          <w:ilvl w:val="0"/>
          <w:numId w:val="3"/>
        </w:numPr>
        <w:spacing w:before="40" w:after="40"/>
      </w:pPr>
      <w:r>
        <w:rPr>
          <w:rFonts w:ascii="Arial" w:cs="Arial" w:eastAsia="Arial" w:hAnsi="Arial"/>
          <w:sz w:val="20"/>
          <w:szCs w:val="20"/>
        </w:rPr>
        <w:t xml:space="preserve">Provision of written informed consent for long-term safety follow-up prior to any study procedures</w:t>
      </w:r>
    </w:p>
    <w:p>
      <w:pPr>
        <w:pStyle w:val="ListParagraph"/>
        <w:numPr>
          <w:ilvl w:val="0"/>
          <w:numId w:val="3"/>
        </w:numPr>
        <w:spacing w:before="40" w:after="40"/>
      </w:pPr>
      <w:r>
        <w:rPr>
          <w:rFonts w:ascii="Arial" w:cs="Arial" w:eastAsia="Arial" w:hAnsi="Arial"/>
          <w:sz w:val="20"/>
          <w:szCs w:val="20"/>
        </w:rPr>
        <w:t xml:space="preserve">Willingness and ability to comply with scheduled follow-up visits and telephone assessments</w:t>
      </w:r>
    </w:p>
    <w:p>
      <w:pPr>
        <w:pStyle w:val="ListParagraph"/>
        <w:numPr>
          <w:ilvl w:val="0"/>
          <w:numId w:val="3"/>
        </w:numPr>
        <w:spacing w:before="40" w:after="40"/>
      </w:pPr>
      <w:r>
        <w:rPr>
          <w:rFonts w:ascii="Arial" w:cs="Arial" w:eastAsia="Arial" w:hAnsi="Arial"/>
          <w:sz w:val="20"/>
          <w:szCs w:val="20"/>
        </w:rPr>
        <w:t xml:space="preserve">For subjects electing optional continued treatment: adequate organ function per CER-301 eligibility criteria (e.g., ECOG PS 0–2, adequate renal and hepatic function)</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4.2  Exclusion Criteria</w:t>
      </w:r>
    </w:p>
    <w:p>
      <w:pPr>
        <w:pStyle w:val="ListParagraph"/>
        <w:numPr>
          <w:ilvl w:val="0"/>
          <w:numId w:val="3"/>
        </w:numPr>
        <w:spacing w:before="40" w:after="40"/>
      </w:pPr>
      <w:r>
        <w:rPr>
          <w:rFonts w:ascii="Arial" w:cs="Arial" w:eastAsia="Arial" w:hAnsi="Arial"/>
          <w:sz w:val="20"/>
          <w:szCs w:val="20"/>
        </w:rPr>
        <w:t xml:space="preserve">Withdrawal of consent from CER-301 parent study for reasons that preclude further contact</w:t>
      </w:r>
    </w:p>
    <w:p>
      <w:pPr>
        <w:pStyle w:val="ListParagraph"/>
        <w:numPr>
          <w:ilvl w:val="0"/>
          <w:numId w:val="3"/>
        </w:numPr>
        <w:spacing w:before="40" w:after="40"/>
      </w:pPr>
      <w:r>
        <w:rPr>
          <w:rFonts w:ascii="Arial" w:cs="Arial" w:eastAsia="Arial" w:hAnsi="Arial"/>
          <w:sz w:val="20"/>
          <w:szCs w:val="20"/>
        </w:rPr>
        <w:t xml:space="preserve">Prisoners or subjects under legal compulsion per 21 CFR §50.44</w:t>
      </w:r>
    </w:p>
    <w:p>
      <w:pPr>
        <w:pStyle w:val="ListParagraph"/>
        <w:numPr>
          <w:ilvl w:val="0"/>
          <w:numId w:val="3"/>
        </w:numPr>
        <w:spacing w:before="40" w:after="40"/>
      </w:pPr>
      <w:r>
        <w:rPr>
          <w:rFonts w:ascii="Arial" w:cs="Arial" w:eastAsia="Arial" w:hAnsi="Arial"/>
          <w:sz w:val="20"/>
          <w:szCs w:val="20"/>
        </w:rPr>
        <w:t xml:space="preserve">Any condition that, in the investigator's judgment, would compromise subject safety or protocol compliance</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4.3  Subject Disposition Tracking</w:t>
      </w:r>
    </w:p>
    <w:p>
      <w:pPr>
        <w:spacing w:before="60" w:after="60"/>
      </w:pPr>
      <w:r>
        <w:rPr>
          <w:rFonts w:ascii="Arial" w:cs="Arial" w:eastAsia="Arial" w:hAnsi="Arial"/>
          <w:b w:val="false"/>
          <w:bCs w:val="false"/>
          <w:color w:val="111111"/>
          <w:sz w:val="20"/>
          <w:szCs w:val="20"/>
        </w:rPr>
        <w:t xml:space="preserve">All subjects rolling over from CER-301 will be assigned a Long-Term Follow-Up (LTFU) subject identification number. Reasons for non-enrollment (e.g., death prior to rollover, withdrawal of consent, lost to follow-up) will be captured in the disposition log.</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5. STUDY DESIGN AND PROCEDURES</w:t>
      </w:r>
    </w:p>
    <w:p>
      <w:pPr>
        <w:pStyle w:val="Heading2"/>
        <w:spacing w:before="240" w:after="120"/>
      </w:pPr>
      <w:r>
        <w:rPr>
          <w:rFonts w:ascii="Arial" w:cs="Arial" w:eastAsia="Arial" w:hAnsi="Arial"/>
          <w:b/>
          <w:bCs/>
          <w:color w:val="2E5F9E"/>
          <w:sz w:val="24"/>
          <w:szCs w:val="24"/>
        </w:rPr>
        <w:t xml:space="preserve">5.1  Overall Design</w:t>
      </w:r>
    </w:p>
    <w:p>
      <w:pPr>
        <w:spacing w:before="60" w:after="60"/>
      </w:pPr>
      <w:r>
        <w:rPr>
          <w:rFonts w:ascii="Arial" w:cs="Arial" w:eastAsia="Arial" w:hAnsi="Arial"/>
          <w:b w:val="false"/>
          <w:bCs w:val="false"/>
          <w:color w:val="111111"/>
          <w:sz w:val="20"/>
          <w:szCs w:val="20"/>
        </w:rPr>
        <w:t xml:space="preserve">CER-LTS-001 is a multicenter, prospective, non-interventional long-term safety follow-up study with an optional continued treatment arm for subjects with ongoing clinical benefit. The study comprises two parallel tracks: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Parameter</w:t>
            </w:r>
          </w:p>
        </w:tc>
        <w:tc>
          <w:tcPr>
            <w:tcW w:type="dxa" w:w="3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Track A: Observation-Only LTFU</w:t>
            </w:r>
          </w:p>
        </w:tc>
        <w:tc>
          <w:tcPr>
            <w:tcW w:type="dxa" w:w="3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Track B: Optional Continued Treatment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Eligibility</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All CER-301 subjects who discontinue CERVIMAB (per protocol or early)</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Subjects with ongoing confirmed CR/PR or SD at end of CER-301 with investigator/sponsor agreement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Treatment</w:t>
            </w:r>
          </w:p>
        </w:tc>
        <w:tc>
          <w:tcPr>
            <w:tcW w:type="dxa" w:w="36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No study drug; routine clinical care</w:t>
            </w:r>
          </w:p>
        </w:tc>
        <w:tc>
          <w:tcPr>
            <w:tcW w:type="dxa" w:w="36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CERVIMAB 400 mg IV Q6W (up to 2 years additional)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Visit Schedule</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Annual clinic visits + semi-annual telephone contacts</w:t>
            </w:r>
          </w:p>
        </w:tc>
        <w:tc>
          <w:tcPr>
            <w:tcW w:type="dxa" w:w="3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Per CER-301 schedule + annual safety assessments</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Duration</w:t>
            </w:r>
          </w:p>
        </w:tc>
        <w:tc>
          <w:tcPr>
            <w:tcW w:type="dxa" w:w="36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5–10 years from last dose</w:t>
            </w:r>
          </w:p>
        </w:tc>
        <w:tc>
          <w:tcPr>
            <w:tcW w:type="dxa" w:w="36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Up to 2 additional years of treatment + 5 years follow-up</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5.2  Visit Schedule — Track A (Observation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Timepoint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Window</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Procedures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Year 1 — Visit 1A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Month 6 ±4 wks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Physical exam, vitals, labs (CBC, CMP, TSH, free T4, cortisol), irAE assessment, concomitant medications, HRQoL, survival status</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Year 1 — Visit 1B</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Month 12 ±4 wks</w:t>
            </w:r>
          </w:p>
        </w:tc>
        <w:tc>
          <w:tcPr>
            <w:tcW w:type="dxa" w:w="43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All above + CT imaging per clinical indication + immunoglobulin panel + CD4/CD8 subset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Years 2–5 Annual Visits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±8 weeks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Physical exam, labs, irAE assessment, new malignancy screen, HRQoL, survival</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Semi-Annual Telephone Contact</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±2 weeks of 6-month mark</w:t>
            </w:r>
          </w:p>
        </w:tc>
        <w:tc>
          <w:tcPr>
            <w:tcW w:type="dxa" w:w="43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AE/SAE inquiry, new diagnoses, hospitalization, medications, survival status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Early Termination / Unscheduled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As needed</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Full safety assessment; reason for termination documented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End of Study</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Year 5 or Year 10</w:t>
            </w:r>
          </w:p>
        </w:tc>
        <w:tc>
          <w:tcPr>
            <w:tcW w:type="dxa" w:w="43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Comprehensive safety assessment, final HRQoL, biobanking (optional)</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5.3  Safety Monitoring</w:t>
      </w:r>
    </w:p>
    <w:p>
      <w:pPr>
        <w:spacing w:before="60" w:after="60"/>
      </w:pPr>
      <w:r>
        <w:rPr>
          <w:rFonts w:ascii="Arial" w:cs="Arial" w:eastAsia="Arial" w:hAnsi="Arial"/>
          <w:b w:val="false"/>
          <w:bCs w:val="false"/>
          <w:color w:val="111111"/>
          <w:sz w:val="20"/>
          <w:szCs w:val="20"/>
        </w:rPr>
        <w:t xml:space="preserve">All adverse events occurring during the follow-up period will be assessed for:</w:t>
      </w:r>
    </w:p>
    <w:p>
      <w:pPr>
        <w:pStyle w:val="ListParagraph"/>
        <w:numPr>
          <w:ilvl w:val="0"/>
          <w:numId w:val="2"/>
        </w:numPr>
        <w:spacing w:before="40" w:after="40"/>
      </w:pPr>
      <w:r>
        <w:rPr>
          <w:rFonts w:ascii="Arial" w:cs="Arial" w:eastAsia="Arial" w:hAnsi="Arial"/>
          <w:sz w:val="20"/>
          <w:szCs w:val="20"/>
        </w:rPr>
        <w:t xml:space="preserve">Severity per NCI CTCAE v5.0</w:t>
      </w:r>
    </w:p>
    <w:p>
      <w:pPr>
        <w:pStyle w:val="ListParagraph"/>
        <w:numPr>
          <w:ilvl w:val="0"/>
          <w:numId w:val="2"/>
        </w:numPr>
        <w:spacing w:before="40" w:after="40"/>
      </w:pPr>
      <w:r>
        <w:rPr>
          <w:rFonts w:ascii="Arial" w:cs="Arial" w:eastAsia="Arial" w:hAnsi="Arial"/>
          <w:sz w:val="20"/>
          <w:szCs w:val="20"/>
        </w:rPr>
        <w:t xml:space="preserve">Relationship to prior CERVIMAB exposure (definitely related, probably related, possibly related, unlikely related, not related)</w:t>
      </w:r>
    </w:p>
    <w:p>
      <w:pPr>
        <w:pStyle w:val="ListParagraph"/>
        <w:numPr>
          <w:ilvl w:val="0"/>
          <w:numId w:val="2"/>
        </w:numPr>
        <w:spacing w:before="40" w:after="40"/>
      </w:pPr>
      <w:r>
        <w:rPr>
          <w:rFonts w:ascii="Arial" w:cs="Arial" w:eastAsia="Arial" w:hAnsi="Arial"/>
          <w:sz w:val="20"/>
          <w:szCs w:val="20"/>
        </w:rPr>
        <w:t xml:space="preserve">Immune-related attribution per protocol-defined irAE criteria</w:t>
      </w:r>
    </w:p>
    <w:p>
      <w:pPr>
        <w:pStyle w:val="ListParagraph"/>
        <w:numPr>
          <w:ilvl w:val="0"/>
          <w:numId w:val="2"/>
        </w:numPr>
        <w:spacing w:before="40" w:after="40"/>
      </w:pPr>
      <w:r>
        <w:rPr>
          <w:rFonts w:ascii="Arial" w:cs="Arial" w:eastAsia="Arial" w:hAnsi="Arial"/>
          <w:sz w:val="20"/>
          <w:szCs w:val="20"/>
        </w:rPr>
        <w:t xml:space="preserve">Seriousness (SAE criteria per 21 CFR §312.32 and ICH E6)</w:t>
      </w:r>
    </w:p>
    <w:p>
      <w:pPr>
        <w:spacing w:before="60" w:after="60"/>
      </w:pPr>
      <w:r>
        <w:t xml:space="preserve"/>
      </w:r>
    </w:p>
    <w:p>
      <w:pPr>
        <w:spacing w:before="60" w:after="60"/>
      </w:pPr>
      <w:r>
        <w:rPr>
          <w:rFonts w:ascii="Arial" w:cs="Arial" w:eastAsia="Arial" w:hAnsi="Arial"/>
          <w:b w:val="false"/>
          <w:bCs w:val="false"/>
          <w:color w:val="111111"/>
          <w:sz w:val="20"/>
          <w:szCs w:val="20"/>
        </w:rPr>
        <w:t xml:space="preserve">An independent Data Safety Monitoring Board (DSMB) with expertise in oncology, immunology, and biostatistics will review unblinded cumulative safety data on a semi-annual basis. The DSMB Charter (separate document) specifies stopping rules and safety review procedures.</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6. irAE MANAGEMENT GUIDANCE</w:t>
      </w:r>
    </w:p>
    <w:p>
      <w:pPr>
        <w:pStyle w:val="Heading2"/>
        <w:spacing w:before="240" w:after="120"/>
      </w:pPr>
      <w:r>
        <w:rPr>
          <w:rFonts w:ascii="Arial" w:cs="Arial" w:eastAsia="Arial" w:hAnsi="Arial"/>
          <w:b/>
          <w:bCs/>
          <w:color w:val="2E5F9E"/>
          <w:sz w:val="24"/>
          <w:szCs w:val="24"/>
        </w:rPr>
        <w:t xml:space="preserve">6.1  Immune-Related Adverse Events (irAEs) — Classification</w:t>
      </w:r>
    </w:p>
    <w:p>
      <w:pPr>
        <w:spacing w:before="60" w:after="60"/>
      </w:pPr>
      <w:r>
        <w:rPr>
          <w:rFonts w:ascii="Arial" w:cs="Arial" w:eastAsia="Arial" w:hAnsi="Arial"/>
          <w:b w:val="false"/>
          <w:bCs w:val="false"/>
          <w:color w:val="111111"/>
          <w:sz w:val="20"/>
          <w:szCs w:val="20"/>
        </w:rPr>
        <w:t xml:space="preserve">irAEs are defined as adverse events with an immune-mediated mechanism that are attributable (definitely, probably, or possibly) to prior anti-PD-1 exposure, regardless of time elapsed since last dose. Standardized irAE criteria from ASCO Clinical Practice Guidelines and SITC Toxicity Management Guidelines will be applied.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irAE Category</w:t>
            </w:r>
          </w:p>
        </w:tc>
        <w:tc>
          <w:tcPr>
            <w:tcW w:type="dxa" w:w="3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Key Monitoring Parameters</w:t>
            </w:r>
          </w:p>
        </w:tc>
        <w:tc>
          <w:tcPr>
            <w:tcW w:type="dxa" w:w="3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Management Approach</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Endocrine (Thyroid)</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TSH, free T4 every 6 months</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Hormone replacement; endocrinology referral for Grade ≥2</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Endocrine (Adrenal)</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Morning cortisol, ACTH stimulation annually</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Hydrocortisone replacement for AI; stress dosing education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Endocrine (Pituitary)</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IGF-1, prolactin, LH/FSH at Year 1 and as indicated</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MRI if hypopituitarism suspected; hormone replacement</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Hepatic</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ALT, AST, ALP, bilirubin at each visit</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Corticosteroids Grade ≥2; consider mycophenolate if refractory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Pulmonary</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Symptom inquiry; CT/PFTs as clinically indicated</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High-dose prednisone ≥1 mg/kg/day for Grade ≥2 pneumonitis</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Renal</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Creatinine, urinalysis at each visit</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Prednisone + nephrology referral for confirmed nephritis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Dermatologic</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Skin exam; dermatology referral as needed</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Topicals for Grade 1–2; systemic steroids for Grade ≥3</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Neurologic</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Symptom screen; neurology referral</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IVIG/plasmapheresis for GBS; high-dose steroids for encephalitis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Cardiac</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ECG at baseline; troponin/ECG for symptoms</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Immediate cardiology; high-dose methylprednisolone for myocarditis</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6.2  Serious and Unexpected irAE Reporting</w:t>
      </w:r>
    </w:p>
    <w:p>
      <w:pPr>
        <w:spacing w:before="60" w:after="60"/>
      </w:pPr>
      <w:r>
        <w:rPr>
          <w:rFonts w:ascii="Arial" w:cs="Arial" w:eastAsia="Arial" w:hAnsi="Arial"/>
          <w:b w:val="false"/>
          <w:bCs w:val="false"/>
          <w:color w:val="111111"/>
          <w:sz w:val="20"/>
          <w:szCs w:val="20"/>
        </w:rPr>
        <w:t xml:space="preserve">All Grade 3–4 irAEs and any Grade 2 irAEs that are unexpected (unlisted in current IB) must be reported as Serious Adverse Events (SAEs) per 21 CFR §312.32:</w:t>
      </w:r>
    </w:p>
    <w:p>
      <w:pPr>
        <w:pStyle w:val="ListParagraph"/>
        <w:numPr>
          <w:ilvl w:val="0"/>
          <w:numId w:val="2"/>
        </w:numPr>
        <w:spacing w:before="40" w:after="40"/>
      </w:pPr>
      <w:r>
        <w:rPr>
          <w:rFonts w:ascii="Arial" w:cs="Arial" w:eastAsia="Arial" w:hAnsi="Arial"/>
          <w:sz w:val="20"/>
          <w:szCs w:val="20"/>
        </w:rPr>
        <w:t xml:space="preserve">Fatal or life-threatening: IND Safety Report within 7 calendar days (initial) and 15 days (complete)</w:t>
      </w:r>
    </w:p>
    <w:p>
      <w:pPr>
        <w:pStyle w:val="ListParagraph"/>
        <w:numPr>
          <w:ilvl w:val="0"/>
          <w:numId w:val="2"/>
        </w:numPr>
        <w:spacing w:before="40" w:after="40"/>
      </w:pPr>
      <w:r>
        <w:rPr>
          <w:rFonts w:ascii="Arial" w:cs="Arial" w:eastAsia="Arial" w:hAnsi="Arial"/>
          <w:sz w:val="20"/>
          <w:szCs w:val="20"/>
        </w:rPr>
        <w:t xml:space="preserve">Serious, unexpected, related: IND Safety Report within 15 calendar days</w:t>
      </w:r>
    </w:p>
    <w:p>
      <w:pPr>
        <w:pStyle w:val="ListParagraph"/>
        <w:numPr>
          <w:ilvl w:val="0"/>
          <w:numId w:val="2"/>
        </w:numPr>
        <w:spacing w:before="40" w:after="40"/>
      </w:pPr>
      <w:r>
        <w:rPr>
          <w:rFonts w:ascii="Arial" w:cs="Arial" w:eastAsia="Arial" w:hAnsi="Arial"/>
          <w:sz w:val="20"/>
          <w:szCs w:val="20"/>
        </w:rPr>
        <w:t xml:space="preserve">Serious, expected, related: Aggregate reporting in annual IND report</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7. STATISTICAL CONSIDERATIONS</w:t>
      </w:r>
    </w:p>
    <w:p>
      <w:pPr>
        <w:pStyle w:val="Heading2"/>
        <w:spacing w:before="240" w:after="120"/>
      </w:pPr>
      <w:r>
        <w:rPr>
          <w:rFonts w:ascii="Arial" w:cs="Arial" w:eastAsia="Arial" w:hAnsi="Arial"/>
          <w:b/>
          <w:bCs/>
          <w:color w:val="2E5F9E"/>
          <w:sz w:val="24"/>
          <w:szCs w:val="24"/>
        </w:rPr>
        <w:t xml:space="preserve">7.1  Sample Size</w:t>
      </w:r>
    </w:p>
    <w:p>
      <w:pPr>
        <w:spacing w:before="60" w:after="60"/>
      </w:pPr>
      <w:r>
        <w:rPr>
          <w:rFonts w:ascii="Arial" w:cs="Arial" w:eastAsia="Arial" w:hAnsi="Arial"/>
          <w:b w:val="false"/>
          <w:bCs w:val="false"/>
          <w:color w:val="111111"/>
          <w:sz w:val="20"/>
          <w:szCs w:val="20"/>
        </w:rPr>
        <w:t xml:space="preserve">The LTFU study will enroll all eligible subjects from CER-301 (up to N=420). No formal power calculation is required for this descriptive safety follow-up study. The sample size is determined by the parent study enrollment.</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7.2  Analysis Populations</w:t>
      </w:r>
    </w:p>
    <w:p>
      <w:pPr>
        <w:pStyle w:val="ListParagraph"/>
        <w:numPr>
          <w:ilvl w:val="0"/>
          <w:numId w:val="2"/>
        </w:numPr>
        <w:spacing w:before="40" w:after="40"/>
      </w:pPr>
      <w:r>
        <w:rPr>
          <w:rFonts w:ascii="Arial" w:cs="Arial" w:eastAsia="Arial" w:hAnsi="Arial"/>
          <w:sz w:val="20"/>
          <w:szCs w:val="20"/>
        </w:rPr>
        <w:t xml:space="preserve">Long-Term Safety Population (LTSP): All subjects who received ≥1 dose of CERVIMAB and enrolled in CER-LTS-001</w:t>
      </w:r>
    </w:p>
    <w:p>
      <w:pPr>
        <w:pStyle w:val="ListParagraph"/>
        <w:numPr>
          <w:ilvl w:val="0"/>
          <w:numId w:val="2"/>
        </w:numPr>
        <w:spacing w:before="40" w:after="40"/>
      </w:pPr>
      <w:r>
        <w:rPr>
          <w:rFonts w:ascii="Arial" w:cs="Arial" w:eastAsia="Arial" w:hAnsi="Arial"/>
          <w:sz w:val="20"/>
          <w:szCs w:val="20"/>
        </w:rPr>
        <w:t xml:space="preserve">Extended Treatment Population (ETP): Subjects in Track B who receive ≥1 additional dose of CERVIMAB</w:t>
      </w:r>
    </w:p>
    <w:p>
      <w:pPr>
        <w:pStyle w:val="ListParagraph"/>
        <w:numPr>
          <w:ilvl w:val="0"/>
          <w:numId w:val="2"/>
        </w:numPr>
        <w:spacing w:before="40" w:after="40"/>
      </w:pPr>
      <w:r>
        <w:rPr>
          <w:rFonts w:ascii="Arial" w:cs="Arial" w:eastAsia="Arial" w:hAnsi="Arial"/>
          <w:sz w:val="20"/>
          <w:szCs w:val="20"/>
        </w:rPr>
        <w:t xml:space="preserve">Observational Cohort: All subjects in Track A</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7.3  Primary Analyses</w:t>
      </w:r>
    </w:p>
    <w:p>
      <w:pPr>
        <w:spacing w:before="60" w:after="60"/>
      </w:pPr>
      <w:r>
        <w:rPr>
          <w:rFonts w:ascii="Arial" w:cs="Arial" w:eastAsia="Arial" w:hAnsi="Arial"/>
          <w:b w:val="false"/>
          <w:bCs w:val="false"/>
          <w:color w:val="111111"/>
          <w:sz w:val="20"/>
          <w:szCs w:val="20"/>
        </w:rPr>
        <w:t xml:space="preserve">Safety analyses will be primarily descriptive:</w:t>
      </w:r>
    </w:p>
    <w:p>
      <w:pPr>
        <w:pStyle w:val="ListParagraph"/>
        <w:numPr>
          <w:ilvl w:val="0"/>
          <w:numId w:val="2"/>
        </w:numPr>
        <w:spacing w:before="40" w:after="40"/>
      </w:pPr>
      <w:r>
        <w:rPr>
          <w:rFonts w:ascii="Arial" w:cs="Arial" w:eastAsia="Arial" w:hAnsi="Arial"/>
          <w:sz w:val="20"/>
          <w:szCs w:val="20"/>
        </w:rPr>
        <w:t xml:space="preserve">Cumulative incidence of irAEs presented as n (%), incidence rate per 100 patient-years with 95% Poisson CI</w:t>
      </w:r>
    </w:p>
    <w:p>
      <w:pPr>
        <w:pStyle w:val="ListParagraph"/>
        <w:numPr>
          <w:ilvl w:val="0"/>
          <w:numId w:val="2"/>
        </w:numPr>
        <w:spacing w:before="40" w:after="40"/>
      </w:pPr>
      <w:r>
        <w:rPr>
          <w:rFonts w:ascii="Arial" w:cs="Arial" w:eastAsia="Arial" w:hAnsi="Arial"/>
          <w:sz w:val="20"/>
          <w:szCs w:val="20"/>
        </w:rPr>
        <w:t xml:space="preserve">Time-to-onset and duration of irAEs summarized using Kaplan-Meier methodology</w:t>
      </w:r>
    </w:p>
    <w:p>
      <w:pPr>
        <w:pStyle w:val="ListParagraph"/>
        <w:numPr>
          <w:ilvl w:val="0"/>
          <w:numId w:val="2"/>
        </w:numPr>
        <w:spacing w:before="40" w:after="40"/>
      </w:pPr>
      <w:r>
        <w:rPr>
          <w:rFonts w:ascii="Arial" w:cs="Arial" w:eastAsia="Arial" w:hAnsi="Arial"/>
          <w:sz w:val="20"/>
          <w:szCs w:val="20"/>
        </w:rPr>
        <w:t xml:space="preserve">Secondary malignancy rates compared to age-sex-standardized background cancer incidence rates (SEER database)</w:t>
      </w:r>
    </w:p>
    <w:p>
      <w:pPr>
        <w:pStyle w:val="ListParagraph"/>
        <w:numPr>
          <w:ilvl w:val="0"/>
          <w:numId w:val="2"/>
        </w:numPr>
        <w:spacing w:before="40" w:after="40"/>
      </w:pPr>
      <w:r>
        <w:rPr>
          <w:rFonts w:ascii="Arial" w:cs="Arial" w:eastAsia="Arial" w:hAnsi="Arial"/>
          <w:sz w:val="20"/>
          <w:szCs w:val="20"/>
        </w:rPr>
        <w:t xml:space="preserve">Overall survival estimated by Kaplan-Meier method with log-rank test for comparison between continued treatment and observation cohorts</w:t>
      </w:r>
    </w:p>
    <w:p>
      <w:pPr>
        <w:pStyle w:val="ListParagraph"/>
        <w:numPr>
          <w:ilvl w:val="0"/>
          <w:numId w:val="2"/>
        </w:numPr>
        <w:spacing w:before="40" w:after="40"/>
      </w:pPr>
      <w:r>
        <w:rPr>
          <w:rFonts w:ascii="Arial" w:cs="Arial" w:eastAsia="Arial" w:hAnsi="Arial"/>
          <w:sz w:val="20"/>
          <w:szCs w:val="20"/>
        </w:rPr>
        <w:t xml:space="preserve">HRQoL longitudinal changes modeled using mixed-effects model for repeated measures (MMRM)</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7.4  Data Cutoffs and Reports</w:t>
      </w:r>
    </w:p>
    <w:p>
      <w:pPr>
        <w:spacing w:before="60" w:after="60"/>
      </w:pPr>
      <w:r>
        <w:rPr>
          <w:rFonts w:ascii="Arial" w:cs="Arial" w:eastAsia="Arial" w:hAnsi="Arial"/>
          <w:b w:val="false"/>
          <w:bCs w:val="false"/>
          <w:color w:val="111111"/>
          <w:sz w:val="20"/>
          <w:szCs w:val="20"/>
        </w:rPr>
        <w:t xml:space="preserve">Annual interim safety reports will be provided to the DSMB and submitted to the FDA as required. A final integrated safety report will be prepared at study closure for submission per NDA or BLA safety update requirements.</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8. REGULATORY AND ETHICAL CONSIDERATIONS</w:t>
      </w:r>
    </w:p>
    <w:p>
      <w:pPr>
        <w:pStyle w:val="Heading2"/>
        <w:spacing w:before="240" w:after="120"/>
      </w:pPr>
      <w:r>
        <w:rPr>
          <w:rFonts w:ascii="Arial" w:cs="Arial" w:eastAsia="Arial" w:hAnsi="Arial"/>
          <w:b/>
          <w:bCs/>
          <w:color w:val="2E5F9E"/>
          <w:sz w:val="24"/>
          <w:szCs w:val="24"/>
        </w:rPr>
        <w:t xml:space="preserve">8.1  Regulatory Compliance</w:t>
      </w:r>
    </w:p>
    <w:p>
      <w:pPr>
        <w:pStyle w:val="ListParagraph"/>
        <w:numPr>
          <w:ilvl w:val="0"/>
          <w:numId w:val="2"/>
        </w:numPr>
        <w:spacing w:before="40" w:after="40"/>
      </w:pPr>
      <w:r>
        <w:rPr>
          <w:rFonts w:ascii="Arial" w:cs="Arial" w:eastAsia="Arial" w:hAnsi="Arial"/>
          <w:sz w:val="20"/>
          <w:szCs w:val="20"/>
        </w:rPr>
        <w:t xml:space="preserve">This study is conducted in compliance with: 21 CFR Part 312 (IND regulations), 21 CFR Parts 50 and 56 (Informed Consent and IRB regulations), ICH E6(R2) Good Clinical Practice, ICH E2E Pharmacovigilance Planning, and Declaration of Helsinki</w:t>
      </w:r>
    </w:p>
    <w:p>
      <w:pPr>
        <w:pStyle w:val="ListParagraph"/>
        <w:numPr>
          <w:ilvl w:val="0"/>
          <w:numId w:val="2"/>
        </w:numPr>
        <w:spacing w:before="40" w:after="40"/>
      </w:pPr>
      <w:r>
        <w:rPr>
          <w:rFonts w:ascii="Arial" w:cs="Arial" w:eastAsia="Arial" w:hAnsi="Arial"/>
          <w:sz w:val="20"/>
          <w:szCs w:val="20"/>
        </w:rPr>
        <w:t xml:space="preserve">An IND amendment will be submitted prior to study activation to add this LTFU protocol to the existing CER-301 IND</w:t>
      </w:r>
    </w:p>
    <w:p>
      <w:pPr>
        <w:pStyle w:val="ListParagraph"/>
        <w:numPr>
          <w:ilvl w:val="0"/>
          <w:numId w:val="2"/>
        </w:numPr>
        <w:spacing w:before="40" w:after="40"/>
      </w:pPr>
      <w:r>
        <w:rPr>
          <w:rFonts w:ascii="Arial" w:cs="Arial" w:eastAsia="Arial" w:hAnsi="Arial"/>
          <w:sz w:val="20"/>
          <w:szCs w:val="20"/>
        </w:rPr>
        <w:t xml:space="preserve">All protocol amendments will be submitted to FDA and applicable IRBs/Ethics Committees per applicable regulations</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8.2  Informed Consent</w:t>
      </w:r>
    </w:p>
    <w:p>
      <w:pPr>
        <w:spacing w:before="60" w:after="60"/>
      </w:pPr>
      <w:r>
        <w:rPr>
          <w:rFonts w:ascii="Arial" w:cs="Arial" w:eastAsia="Arial" w:hAnsi="Arial"/>
          <w:b w:val="false"/>
          <w:bCs w:val="false"/>
          <w:color w:val="111111"/>
          <w:sz w:val="20"/>
          <w:szCs w:val="20"/>
        </w:rPr>
        <w:t xml:space="preserve">A separate long-term follow-up informed consent form (LTFU-ICF) will be obtained from all subjects prior to enrollment. The LTFU-ICF will describe: (1) the voluntary nature of participation; (2) the procedures and duration; (3) potential risks including incidental findings; (4) data privacy protections (HIPAA, GDPR where applicable); and (5) the right to withdraw at any time without consequence to clinical care.</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8.3  Data Privacy and Security</w:t>
      </w:r>
    </w:p>
    <w:p>
      <w:pPr>
        <w:spacing w:before="60" w:after="60"/>
      </w:pPr>
      <w:r>
        <w:rPr>
          <w:rFonts w:ascii="Arial" w:cs="Arial" w:eastAsia="Arial" w:hAnsi="Arial"/>
          <w:b w:val="false"/>
          <w:bCs w:val="false"/>
          <w:color w:val="111111"/>
          <w:sz w:val="20"/>
          <w:szCs w:val="20"/>
        </w:rPr>
        <w:t xml:space="preserve">All study data will be collected and stored in a validated electronic data capture (EDC) system meeting 21 CFR Part 11 requirements. Subject data will be pseudonymized. Long-term biobank samples will be stored under a separate IRB-approved biobanking protocol if collected.</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APPENDIX A — LABORATORY REFERENCE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Laboratory Test</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Month 6</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Year 1</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Year 2–4 (Annual)</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Year 5</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Unscheduled (as needed)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CBC with Differential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Complete Metabolic Panel</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TSH + Free T4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Morning Cortisol</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If indicated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ACTH Stimulation Test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If indicated</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Urinalysis with Microscopy</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If indicated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IgG, IgA, IgM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CD4/CD8 T-Cell Subsets</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Anti-nuclear Antibody (ANA)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If positive: repeat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If irAE suspected</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Serum Protein Electrophoresis</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X</w:t>
            </w:r>
          </w:p>
        </w:tc>
        <w:tc>
          <w:tcPr>
            <w:tcW w:type="dxa" w:w="15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E6" w:val="clear"/>
            <w:tcMar>
              <w:top w:type="dxa" w:w="100"/>
              <w:left w:type="dxa" w:w="160"/>
              <w:bottom w:type="dxa" w:w="100"/>
              <w:right w:type="dxa" w:w="160"/>
            </w:tcMar>
          </w:tcPr>
          <w:p>
            <w:pPr>
              <w:spacing w:before="40" w:after="40"/>
            </w:pPr>
            <w:r>
              <w:rPr>
                <w:rFonts w:ascii="Arial" w:cs="Arial" w:eastAsia="Arial" w:hAnsi="Arial"/>
                <w:b/>
                <w:bCs/>
                <w:color w:val="7B4800"/>
                <w:sz w:val="18"/>
                <w:szCs w:val="18"/>
              </w:rPr>
              <w:t xml:space="preserve">NOTE: </w:t>
            </w:r>
            <w:r>
              <w:rPr>
                <w:rFonts w:ascii="Arial" w:cs="Arial" w:eastAsia="Arial" w:hAnsi="Arial"/>
                <w:color w:val="5C3700"/>
                <w:sz w:val="18"/>
                <w:szCs w:val="18"/>
              </w:rPr>
              <w:t xml:space="preserve">This protocol is a representative example prepared per 21 CFR Part 312, ICH E2E, and ICH E6(R2). Protocol CER-LTS-001 is fictional and for training and illustrative purposes only. All subject numbers, investigators, and institutional affiliations are hypothetical.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4"/>
      </w:pBdr>
      <w:tabs>
        <w:tab w:val="center" w:pos="4680"/>
        <w:tab w:val="right" w:pos="9360"/>
      </w:tabs>
    </w:pPr>
    <w:r>
      <w:rPr>
        <w:rFonts w:ascii="Arial" w:cs="Arial" w:eastAsia="Arial" w:hAnsi="Arial"/>
        <w:color w:val="666666"/>
        <w:sz w:val="16"/>
        <w:szCs w:val="16"/>
      </w:rPr>
      <w:t xml:space="preserve">NovaMed Biosciences, Inc.  |  CERVIMAB (PD-1 Inhibitor)</w:t>
    </w:r>
    <w:r>
      <w:rPr>
        <w:rFonts w:ascii="Arial" w:cs="Arial" w:eastAsia="Arial" w:hAnsi="Arial"/>
        <w:color w:val="666666"/>
        <w:sz w:val="16"/>
        <w:szCs w:val="16"/>
      </w:rPr>
      <w:t xml:space="preserve">	CER-LTS-001 v1.0</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space="4"/>
      </w:pBdr>
    </w:pPr>
    <w:r>
      <w:rPr>
        <w:rFonts w:ascii="Arial" w:cs="Arial" w:eastAsia="Arial" w:hAnsi="Arial"/>
        <w:b/>
        <w:bCs/>
        <w:color w:val="2E5F9E"/>
        <w:sz w:val="16"/>
        <w:szCs w:val="16"/>
      </w:rPr>
      <w:t xml:space="preserve">CONFIDENTIAL — INVESTIGATIONAL NEW DRUG</w:t>
    </w:r>
    <w:r>
      <w:rPr>
        <w:rFonts w:ascii="Arial" w:cs="Arial" w:eastAsia="Arial" w:hAnsi="Arial"/>
        <w:color w:val="666666"/>
        <w:sz w:val="16"/>
        <w:szCs w:val="16"/>
      </w:rPr>
      <w:t xml:space="preserve">    |    Long-Term Safety Follow-Up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2026-03-16T14:11:36.059Z</dcterms:created>
  <dcterms:modified xsi:type="dcterms:W3CDTF">2026-03-16T14:11:36.059Z</dcterms:modified>
</cp:coreProperties>
</file>

<file path=docProps/custom.xml><?xml version="1.0" encoding="utf-8"?>
<Properties xmlns="http://schemas.openxmlformats.org/officeDocument/2006/custom-properties" xmlns:vt="http://schemas.openxmlformats.org/officeDocument/2006/docPropsVTypes"/>
</file>