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320"/>
      </w:pPr>
    </w:p>
    <w:p>
      <w:pPr>
        <w:spacing w:before="0" w:after="80"/>
        <w:jc w:val="center"/>
      </w:pPr>
      <w:r>
        <w:rPr>
          <w:rFonts w:ascii="Arial" w:cs="Arial" w:eastAsia="Arial" w:hAnsi="Arial"/>
          <w:b/>
          <w:bCs/>
          <w:color w:val="555555"/>
          <w:sz w:val="20"/>
          <w:szCs w:val="20"/>
        </w:rPr>
        <w:t xml:space="preserve">CERVI THERAPEUTICS, INC.</w:t>
      </w:r>
    </w:p>
    <w:p>
      <w:pPr>
        <w:spacing w:before="0" w:after="160"/>
      </w:pPr>
    </w:p>
    <w:p>
      <w:pPr>
        <w:spacing w:before="0" w:after="120"/>
        <w:jc w:val="center"/>
      </w:pPr>
      <w:r>
        <w:rPr>
          <w:rFonts w:ascii="Arial" w:cs="Arial" w:eastAsia="Arial" w:hAnsi="Arial"/>
          <w:b/>
          <w:bCs/>
          <w:color w:val="1F4E79"/>
          <w:sz w:val="48"/>
          <w:szCs w:val="48"/>
        </w:rPr>
        <w:t xml:space="preserve">HEALTH TECHNOLOGY ASSESSMENT DOSSIER</w:t>
      </w:r>
    </w:p>
    <w:p>
      <w:pPr>
        <w:spacing w:before="0" w:after="240"/>
        <w:jc w:val="center"/>
      </w:pPr>
      <w:r>
        <w:rPr>
          <w:rFonts w:ascii="Arial" w:cs="Arial" w:eastAsia="Arial" w:hAnsi="Arial"/>
          <w:color w:val="2E75B6"/>
          <w:sz w:val="32"/>
          <w:szCs w:val="32"/>
        </w:rPr>
        <w:t xml:space="preserve">CERVIMAB (Anti-PD-1 Monoclonal Antibody)</w:t>
      </w:r>
    </w:p>
    <w:p>
      <w:pPr>
        <w:spacing w:before="0" w:after="8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Borders>
              <w:top w:val="single" w:color="2E75B6" w:sz="12"/>
              <w:left w:val="none"/>
              <w:bottom w:val="single" w:color="2E75B6" w:sz="12"/>
              <w:right w:val="none"/>
            </w:tcBorders>
            <w:shd w:fill="D6E4F0" w:val="clear"/>
            <w:tcMar>
              <w:top w:type="dxa" w:w="200"/>
              <w:left w:type="dxa" w:w="240"/>
              <w:bottom w:type="dxa" w:w="200"/>
              <w:right w:type="dxa" w:w="240"/>
            </w:tcMar>
          </w:tcPr>
          <w:p>
            <w:pPr>
              <w:jc w:val="center"/>
            </w:pPr>
            <w:r>
              <w:rPr>
                <w:rFonts w:ascii="Arial" w:cs="Arial" w:eastAsia="Arial" w:hAnsi="Arial"/>
                <w:color w:val="1F4E79"/>
                <w:sz w:val="26"/>
                <w:szCs w:val="26"/>
              </w:rPr>
              <w:t xml:space="preserve">For the Treatment of Previously Treated Adult Patients with</w:t>
            </w:r>
          </w:p>
          <w:p>
            <w:pPr>
              <w:jc w:val="center"/>
            </w:pPr>
            <w:r>
              <w:rPr>
                <w:rFonts w:ascii="Arial" w:cs="Arial" w:eastAsia="Arial" w:hAnsi="Arial"/>
                <w:b/>
                <w:bCs/>
                <w:color w:val="1F4E79"/>
                <w:sz w:val="26"/>
                <w:szCs w:val="26"/>
              </w:rPr>
              <w:t xml:space="preserve">Mismatch Repair Deficient (dMMR) / Microsatellite Instability-High (MSI-H)</w:t>
            </w:r>
          </w:p>
          <w:p>
            <w:pPr>
              <w:jc w:val="center"/>
            </w:pPr>
            <w:r>
              <w:rPr>
                <w:rFonts w:ascii="Arial" w:cs="Arial" w:eastAsia="Arial" w:hAnsi="Arial"/>
                <w:b/>
                <w:bCs/>
                <w:color w:val="1F4E79"/>
                <w:sz w:val="26"/>
                <w:szCs w:val="26"/>
              </w:rPr>
              <w:t xml:space="preserve">Metastatic Colorectal Cancer (mCRC)</w:t>
            </w:r>
          </w:p>
        </w:tc>
      </w:tr>
    </w:tbl>
    <w:p>
      <w:pPr>
        <w:spacing w:before="0" w:after="160"/>
      </w:pPr>
    </w:p>
    <w:p>
      <w:pPr>
        <w:jc w:val="center"/>
      </w:pPr>
      <w:r>
        <w:rPr>
          <w:rFonts w:ascii="Arial" w:cs="Arial" w:eastAsia="Arial" w:hAnsi="Arial"/>
          <w:color w:val="555555"/>
          <w:sz w:val="22"/>
          <w:szCs w:val="22"/>
        </w:rPr>
        <w:t xml:space="preserve">Prepared for Submission to:</w:t>
      </w:r>
    </w:p>
    <w:p>
      <w:pPr>
        <w:jc w:val="center"/>
      </w:pPr>
      <w:r>
        <w:rPr>
          <w:rFonts w:ascii="Arial" w:cs="Arial" w:eastAsia="Arial" w:hAnsi="Arial"/>
          <w:b/>
          <w:bCs/>
          <w:color w:val="1F4E79"/>
          <w:sz w:val="22"/>
          <w:szCs w:val="22"/>
        </w:rPr>
        <w:t xml:space="preserve">Institute for Clinical and Economic Review (ICER) | FDA Office of New Drugs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Dossier Type:</w:t>
            </w:r>
          </w:p>
        </w:tc>
        <w:tc>
          <w:tcPr>
            <w:tcW w:type="dxa" w:w="63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Health Technology Assessment (HTA) Value Dossier</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IND Number:</w:t>
            </w:r>
          </w:p>
        </w:tc>
        <w:tc>
          <w:tcPr>
            <w:tcW w:type="dxa" w:w="63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IND 123456</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Drug Name:</w:t>
            </w:r>
          </w:p>
        </w:tc>
        <w:tc>
          <w:tcPr>
            <w:tcW w:type="dxa" w:w="63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Cervimab (cemiplimab-[cer])</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Mechanism:</w:t>
            </w:r>
          </w:p>
        </w:tc>
        <w:tc>
          <w:tcPr>
            <w:tcW w:type="dxa" w:w="63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Anti-PD-1 monoclonal antibody (IgG4)</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Indication:</w:t>
            </w:r>
          </w:p>
        </w:tc>
        <w:tc>
          <w:tcPr>
            <w:tcW w:type="dxa" w:w="63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dMMR/MSI-H mCRC — 2nd line or later</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Pivotal Trial:</w:t>
            </w:r>
          </w:p>
        </w:tc>
        <w:tc>
          <w:tcPr>
            <w:tcW w:type="dxa" w:w="63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CERVI-301 (Phase 3, randomized, open-label)</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Comparator:</w:t>
            </w:r>
          </w:p>
        </w:tc>
        <w:tc>
          <w:tcPr>
            <w:tcW w:type="dxa" w:w="63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FOLFOX ± bevacizumab / FOLFIRI ± bevacizumab</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Sponsor:</w:t>
            </w:r>
          </w:p>
        </w:tc>
        <w:tc>
          <w:tcPr>
            <w:tcW w:type="dxa" w:w="63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Cervi Therapeutics, Inc. | Cambridge, MA</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Prepared by:</w:t>
            </w:r>
          </w:p>
        </w:tc>
        <w:tc>
          <w:tcPr>
            <w:tcW w:type="dxa" w:w="63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Global HEOR &amp; Market Access Team</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Version:</w:t>
            </w:r>
          </w:p>
        </w:tc>
        <w:tc>
          <w:tcPr>
            <w:tcW w:type="dxa" w:w="63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Version 3.1 — Final</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Date:</w:t>
            </w:r>
          </w:p>
        </w:tc>
        <w:tc>
          <w:tcPr>
            <w:tcW w:type="dxa" w:w="63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March 2026</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Classification:</w:t>
            </w:r>
          </w:p>
        </w:tc>
        <w:tc>
          <w:tcPr>
            <w:tcW w:type="dxa" w:w="63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CONFIDENTIAL — For HTA Submission Only</w:t>
            </w:r>
          </w:p>
        </w:tc>
      </w:tr>
    </w:tbl>
    <w:p>
      <w:r>
        <w:br w:type="page"/>
      </w:r>
    </w:p>
    <w:p>
      <w:pPr>
        <w:pStyle w:val="Heading1"/>
        <w:pBdr>
          <w:bottom w:val="single" w:color="2E75B6" w:sz="6" w:space="1"/>
        </w:pBdr>
        <w:spacing w:before="360" w:after="120"/>
      </w:pPr>
      <w:r>
        <w:rPr>
          <w:rFonts w:ascii="Arial" w:cs="Arial" w:eastAsia="Arial" w:hAnsi="Arial"/>
          <w:b/>
          <w:bCs/>
          <w:color w:val="1F4E79"/>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6" w:space="1"/>
        </w:pBdr>
        <w:spacing w:before="360" w:after="120"/>
      </w:pPr>
      <w:r>
        <w:rPr>
          <w:rFonts w:ascii="Arial" w:cs="Arial" w:eastAsia="Arial" w:hAnsi="Arial"/>
          <w:b/>
          <w:bCs/>
          <w:color w:val="1F4E79"/>
          <w:sz w:val="32"/>
          <w:szCs w:val="32"/>
        </w:rPr>
        <w:t xml:space="preserve">1. EXECUTIVE SUMMARY</w:t>
      </w:r>
    </w:p>
    <w:p>
      <w:pPr>
        <w:spacing w:before="60" w:after="120"/>
      </w:pPr>
      <w:r>
        <w:rPr>
          <w:rFonts w:ascii="Arial" w:cs="Arial" w:eastAsia="Arial" w:hAnsi="Arial"/>
          <w:sz w:val="22"/>
          <w:szCs w:val="22"/>
        </w:rPr>
        <w:t xml:space="preserve">Cervimab is an investigational fully human anti-PD-1 monoclonal antibody (IgG4 isotype) developed by Cervi Therapeutics for the treatment of adult patients with previously treated, mismatch repair deficient (dMMR) or microsatellite instability-high (MSI-H) metastatic colorectal cancer (mCRC). This Health Technology Assessment (HTA) dossier presents the clinical, humanistic, and economic evidence package supporting the value of cervimab relative to standard chemotherapy regimens.</w:t>
      </w:r>
    </w:p>
    <w:p>
      <w:pPr>
        <w:spacing w:before="0" w:after="80"/>
      </w:pPr>
    </w:p>
    <w:p>
      <w:pPr>
        <w:pStyle w:val="Heading2"/>
        <w:spacing w:before="240" w:after="120"/>
      </w:pPr>
      <w:r>
        <w:rPr>
          <w:rFonts w:ascii="Arial" w:cs="Arial" w:eastAsia="Arial" w:hAnsi="Arial"/>
          <w:b/>
          <w:bCs/>
          <w:color w:val="2E75B6"/>
          <w:sz w:val="28"/>
          <w:szCs w:val="28"/>
        </w:rPr>
        <w:t xml:space="preserve">1.1 Disease and Unmet Need</w:t>
      </w:r>
    </w:p>
    <w:p>
      <w:pPr>
        <w:spacing w:before="60" w:after="120"/>
      </w:pPr>
      <w:r>
        <w:rPr>
          <w:rFonts w:ascii="Arial" w:cs="Arial" w:eastAsia="Arial" w:hAnsi="Arial"/>
          <w:sz w:val="22"/>
          <w:szCs w:val="22"/>
        </w:rPr>
        <w:t xml:space="preserve">Colorectal cancer (CRC) is the third most commonly diagnosed cancer and second leading cause of cancer-related mortality in the United States, with approximately 153,020 new cases and 52,550 deaths estimated in 2023 (Siegel et al., 2023). The dMMR/MSI-H molecular subtype accounts for approximately 4–5% of all metastatic CRC cases (~4,000–5,000 patients annually in the U.S.). These patients have historically derived limited benefit from standard chemotherapy, with median overall survival rarely exceeding 12–15 months in second-line settings. The discovery that dMMR/MSI-H tumors harbor high mutational burden, rendering them particularly susceptible to checkpoint inhibition, has transformed treatment paradigms. Despite the approval of pembrolizumab in the first-line setting, there remains a significant unmet need for patients with disease progression following initial therapy, and no PD-1 inhibitor has demonstrated superiority over pembrolizumab in a head-to-head trial.</w:t>
      </w:r>
    </w:p>
    <w:p>
      <w:pPr>
        <w:spacing w:before="0" w:after="80"/>
      </w:pPr>
    </w:p>
    <w:p>
      <w:pPr>
        <w:pStyle w:val="Heading2"/>
        <w:spacing w:before="240" w:after="120"/>
      </w:pPr>
      <w:r>
        <w:rPr>
          <w:rFonts w:ascii="Arial" w:cs="Arial" w:eastAsia="Arial" w:hAnsi="Arial"/>
          <w:b/>
          <w:bCs/>
          <w:color w:val="2E75B6"/>
          <w:sz w:val="28"/>
          <w:szCs w:val="28"/>
        </w:rPr>
        <w:t xml:space="preserve">1.2 Cervimab: Mechanism and Development</w:t>
      </w:r>
    </w:p>
    <w:p>
      <w:pPr>
        <w:spacing w:before="60" w:after="120"/>
      </w:pPr>
      <w:r>
        <w:rPr>
          <w:rFonts w:ascii="Arial" w:cs="Arial" w:eastAsia="Arial" w:hAnsi="Arial"/>
          <w:sz w:val="22"/>
          <w:szCs w:val="22"/>
        </w:rPr>
        <w:t xml:space="preserve">Cervimab is a fully human IgG4 anti-PD-1 monoclonal antibody engineered with an S228P Fc stabilization mutation to minimize Fab-arm exchange. Cervimab binds PD-1 with sub-nanomolar affinity (KD = 0.42 nM) and demonstrates complete blockade of PD-L1 and PD-L2 interactions at clinically relevant concentrations. The drug is administered intravenously at 400 mg Q6W, enabling a convenient 6-weekly infusion schedule aligned with outpatient oncology workflows. Phase 1/2 dose-finding studies established a favorable safety and pharmacokinetic profile, with dose-proportional exposure across the 1–10 mg/kg dose range and no dose-limiting toxicities observed at the recommended Phase 2 dose.</w:t>
      </w:r>
    </w:p>
    <w:p>
      <w:pPr>
        <w:spacing w:before="0" w:after="80"/>
      </w:pPr>
    </w:p>
    <w:p>
      <w:pPr>
        <w:pStyle w:val="Heading2"/>
        <w:spacing w:before="240" w:after="120"/>
      </w:pPr>
      <w:r>
        <w:rPr>
          <w:rFonts w:ascii="Arial" w:cs="Arial" w:eastAsia="Arial" w:hAnsi="Arial"/>
          <w:b/>
          <w:bCs/>
          <w:color w:val="2E75B6"/>
          <w:sz w:val="28"/>
          <w:szCs w:val="28"/>
        </w:rPr>
        <w:t xml:space="preserve">1.3 Pivotal Trial Summary (CERVI-301)</w:t>
      </w:r>
    </w:p>
    <w:p>
      <w:pPr>
        <w:spacing w:before="60" w:after="120"/>
      </w:pPr>
      <w:r>
        <w:rPr>
          <w:rFonts w:ascii="Arial" w:cs="Arial" w:eastAsia="Arial" w:hAnsi="Arial"/>
          <w:sz w:val="22"/>
          <w:szCs w:val="22"/>
        </w:rPr>
        <w:t xml:space="preserve">The CERVI-301 Phase 3 trial is a multicenter, international, open-label, randomized controlled trial enrolling adult patients with confirmed dMMR/MSI-H mCRC who progressed on or after first-line therapy. A total of 522 patients were randomized 1:1 to cervimab 400 mg Q6W or investigator's choice of standard chemotherapy (FOLFOX ± bevacizumab or FOLFIRI ± bevacizumab). The primary endpoint was progression-free survival (PFS) per RECIST v1.1 by blinded independent central review (BICR). Key secondary endpoints included overall survival (OS), objective response rate (ORR), duration of response (DoR), and patient-reported outcomes (PROs).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gridSpan w:val="1"/>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1872"/>
            <w:gridSpan w:val="1"/>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Cervimab (n=261)</w:t>
            </w:r>
          </w:p>
        </w:tc>
        <w:tc>
          <w:tcPr>
            <w:tcW w:type="dxa" w:w="1872"/>
            <w:gridSpan w:val="1"/>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Chemotherapy (n=261)</w:t>
            </w:r>
          </w:p>
        </w:tc>
        <w:tc>
          <w:tcPr>
            <w:tcW w:type="dxa" w:w="1872"/>
            <w:gridSpan w:val="1"/>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HR or Difference (95% CI)</w:t>
            </w:r>
          </w:p>
        </w:tc>
        <w:tc>
          <w:tcPr>
            <w:tcW w:type="dxa" w:w="1872"/>
            <w:gridSpan w:val="1"/>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p-value</w:t>
            </w:r>
          </w:p>
        </w:tc>
      </w:tr>
      <w:tr>
        <w:tc>
          <w:tcPr>
            <w:tcW w:type="dxa" w:w="1872"/>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Median PFS (BICR)</w:t>
            </w:r>
          </w:p>
        </w:tc>
        <w:tc>
          <w:tcPr>
            <w:tcW w:type="dxa" w:w="1872"/>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16.3 months</w:t>
            </w:r>
          </w:p>
        </w:tc>
        <w:tc>
          <w:tcPr>
            <w:tcW w:type="dxa" w:w="1872"/>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6.2 months</w:t>
            </w:r>
          </w:p>
        </w:tc>
        <w:tc>
          <w:tcPr>
            <w:tcW w:type="dxa" w:w="1872"/>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HR 0.39 (0.31–0.50)</w:t>
            </w:r>
          </w:p>
        </w:tc>
        <w:tc>
          <w:tcPr>
            <w:tcW w:type="dxa" w:w="1872"/>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&lt;0.0001</w:t>
            </w:r>
          </w:p>
        </w:tc>
      </w:tr>
      <w:tr>
        <w:tc>
          <w:tcPr>
            <w:tcW w:type="dxa" w:w="1872"/>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12-month PFS rate</w:t>
            </w:r>
          </w:p>
        </w:tc>
        <w:tc>
          <w:tcPr>
            <w:tcW w:type="dxa" w:w="1872"/>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58.4%</w:t>
            </w:r>
          </w:p>
        </w:tc>
        <w:tc>
          <w:tcPr>
            <w:tcW w:type="dxa" w:w="1872"/>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28.1%</w:t>
            </w:r>
          </w:p>
        </w:tc>
        <w:tc>
          <w:tcPr>
            <w:tcW w:type="dxa" w:w="1872"/>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872"/>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1872"/>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Median OS (interim)</w:t>
            </w:r>
          </w:p>
        </w:tc>
        <w:tc>
          <w:tcPr>
            <w:tcW w:type="dxa" w:w="1872"/>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NR</w:t>
            </w:r>
          </w:p>
        </w:tc>
        <w:tc>
          <w:tcPr>
            <w:tcW w:type="dxa" w:w="1872"/>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14.7 months</w:t>
            </w:r>
          </w:p>
        </w:tc>
        <w:tc>
          <w:tcPr>
            <w:tcW w:type="dxa" w:w="1872"/>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HR 0.51 (0.38–0.68)</w:t>
            </w:r>
          </w:p>
        </w:tc>
        <w:tc>
          <w:tcPr>
            <w:tcW w:type="dxa" w:w="1872"/>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&lt;0.0001</w:t>
            </w:r>
          </w:p>
        </w:tc>
      </w:tr>
      <w:tr>
        <w:tc>
          <w:tcPr>
            <w:tcW w:type="dxa" w:w="1872"/>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ORR</w:t>
            </w:r>
          </w:p>
        </w:tc>
        <w:tc>
          <w:tcPr>
            <w:tcW w:type="dxa" w:w="1872"/>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43.7%</w:t>
            </w:r>
          </w:p>
        </w:tc>
        <w:tc>
          <w:tcPr>
            <w:tcW w:type="dxa" w:w="1872"/>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18.4%</w:t>
            </w:r>
          </w:p>
        </w:tc>
        <w:tc>
          <w:tcPr>
            <w:tcW w:type="dxa" w:w="1872"/>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Diff: +25.3%</w:t>
            </w:r>
          </w:p>
        </w:tc>
        <w:tc>
          <w:tcPr>
            <w:tcW w:type="dxa" w:w="1872"/>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&lt;0.0001</w:t>
            </w:r>
          </w:p>
        </w:tc>
      </w:tr>
      <w:tr>
        <w:tc>
          <w:tcPr>
            <w:tcW w:type="dxa" w:w="1872"/>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 rate</w:t>
            </w:r>
          </w:p>
        </w:tc>
        <w:tc>
          <w:tcPr>
            <w:tcW w:type="dxa" w:w="1872"/>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11.5%</w:t>
            </w:r>
          </w:p>
        </w:tc>
        <w:tc>
          <w:tcPr>
            <w:tcW w:type="dxa" w:w="1872"/>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2.3%</w:t>
            </w:r>
          </w:p>
        </w:tc>
        <w:tc>
          <w:tcPr>
            <w:tcW w:type="dxa" w:w="1872"/>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872"/>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1872"/>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Median DoR</w:t>
            </w:r>
          </w:p>
        </w:tc>
        <w:tc>
          <w:tcPr>
            <w:tcW w:type="dxa" w:w="1872"/>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NR (&gt;24 mo)</w:t>
            </w:r>
          </w:p>
        </w:tc>
        <w:tc>
          <w:tcPr>
            <w:tcW w:type="dxa" w:w="1872"/>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7.3 months</w:t>
            </w:r>
          </w:p>
        </w:tc>
        <w:tc>
          <w:tcPr>
            <w:tcW w:type="dxa" w:w="1872"/>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872"/>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1872"/>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EORTC QLQ-C30 GHS</w:t>
            </w:r>
          </w:p>
        </w:tc>
        <w:tc>
          <w:tcPr>
            <w:tcW w:type="dxa" w:w="1872"/>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+8.4 points</w:t>
            </w:r>
          </w:p>
        </w:tc>
        <w:tc>
          <w:tcPr>
            <w:tcW w:type="dxa" w:w="1872"/>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-4.1 points</w:t>
            </w:r>
          </w:p>
        </w:tc>
        <w:tc>
          <w:tcPr>
            <w:tcW w:type="dxa" w:w="1872"/>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Diff: +12.5 pts</w:t>
            </w:r>
          </w:p>
        </w:tc>
        <w:tc>
          <w:tcPr>
            <w:tcW w:type="dxa" w:w="1872"/>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0.0003</w:t>
            </w:r>
          </w:p>
        </w:tc>
      </w:tr>
      <w:tr>
        <w:tc>
          <w:tcPr>
            <w:tcW w:type="dxa" w:w="1872"/>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Grade 3-4 TRAEs</w:t>
            </w:r>
          </w:p>
        </w:tc>
        <w:tc>
          <w:tcPr>
            <w:tcW w:type="dxa" w:w="1872"/>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18.2%</w:t>
            </w:r>
          </w:p>
        </w:tc>
        <w:tc>
          <w:tcPr>
            <w:tcW w:type="dxa" w:w="1872"/>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47.3%</w:t>
            </w:r>
          </w:p>
        </w:tc>
        <w:tc>
          <w:tcPr>
            <w:tcW w:type="dxa" w:w="1872"/>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872"/>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bl>
    <w:p>
      <w:pPr>
        <w:spacing w:before="0" w:after="80"/>
      </w:pPr>
    </w:p>
    <w:p>
      <w:pPr>
        <w:spacing w:before="60" w:after="120"/>
      </w:pPr>
      <w:r>
        <w:rPr>
          <w:rFonts w:ascii="Arial" w:cs="Arial" w:eastAsia="Arial" w:hAnsi="Arial"/>
          <w:sz w:val="22"/>
          <w:szCs w:val="22"/>
        </w:rPr>
        <w:t xml:space="preserve">These results support cervimab as a clinically meaningful and statistically significant advance in the treatment of dMMR/MSI-H mCRC following first-line treatment failure. The OS data, while not yet mature, already cross the pre-specified boundary for interim analysis (alpha = 0.0025) and show a 49% reduction in the risk of death compared to chemotherapy.</w:t>
      </w:r>
    </w:p>
    <w:p>
      <w:r>
        <w:br w:type="page"/>
      </w:r>
    </w:p>
    <w:p>
      <w:pPr>
        <w:pStyle w:val="Heading1"/>
        <w:pBdr>
          <w:bottom w:val="single" w:color="2E75B6" w:sz="6" w:space="1"/>
        </w:pBdr>
        <w:spacing w:before="360" w:after="120"/>
      </w:pPr>
      <w:r>
        <w:rPr>
          <w:rFonts w:ascii="Arial" w:cs="Arial" w:eastAsia="Arial" w:hAnsi="Arial"/>
          <w:b/>
          <w:bCs/>
          <w:color w:val="1F4E79"/>
          <w:sz w:val="32"/>
          <w:szCs w:val="32"/>
        </w:rPr>
        <w:t xml:space="preserve">2. DISEASE BACKGROUND AND EPIDEMIOLOGY</w:t>
      </w:r>
    </w:p>
    <w:p>
      <w:pPr>
        <w:pStyle w:val="Heading2"/>
        <w:spacing w:before="240" w:after="120"/>
      </w:pPr>
      <w:r>
        <w:rPr>
          <w:rFonts w:ascii="Arial" w:cs="Arial" w:eastAsia="Arial" w:hAnsi="Arial"/>
          <w:b/>
          <w:bCs/>
          <w:color w:val="2E75B6"/>
          <w:sz w:val="28"/>
          <w:szCs w:val="28"/>
        </w:rPr>
        <w:t xml:space="preserve">2.1 Epidemiology of Colorectal Cancer</w:t>
      </w:r>
    </w:p>
    <w:p>
      <w:pPr>
        <w:spacing w:before="60" w:after="120"/>
      </w:pPr>
      <w:r>
        <w:rPr>
          <w:rFonts w:ascii="Arial" w:cs="Arial" w:eastAsia="Arial" w:hAnsi="Arial"/>
          <w:sz w:val="22"/>
          <w:szCs w:val="22"/>
        </w:rPr>
        <w:t xml:space="preserve">Colorectal cancer represents a major global health burden. In the United States, the American Cancer Society estimates 106,590 new colon cancer cases and 46,430 new rectal cancer cases for 2023, with 52,550 deaths. Despite improvements in early detection via colonoscopy screening programs, approximately 20–25% of patients present with stage IV (metastatic) disease at initial diagnosis, and an additional 20–30% of patients with localized disease will eventually develop metastatic recurrence.</w:t>
      </w:r>
    </w:p>
    <w:p>
      <w:pPr>
        <w:spacing w:before="0" w:after="80"/>
      </w:pPr>
    </w:p>
    <w:p>
      <w:pPr>
        <w:pStyle w:val="Heading2"/>
        <w:spacing w:before="240" w:after="120"/>
      </w:pPr>
      <w:r>
        <w:rPr>
          <w:rFonts w:ascii="Arial" w:cs="Arial" w:eastAsia="Arial" w:hAnsi="Arial"/>
          <w:b/>
          <w:bCs/>
          <w:color w:val="2E75B6"/>
          <w:sz w:val="28"/>
          <w:szCs w:val="28"/>
        </w:rPr>
        <w:t xml:space="preserve">2.2 The dMMR/MSI-H Subtype</w:t>
      </w:r>
    </w:p>
    <w:p>
      <w:pPr>
        <w:spacing w:before="60" w:after="120"/>
      </w:pPr>
      <w:r>
        <w:rPr>
          <w:rFonts w:ascii="Arial" w:cs="Arial" w:eastAsia="Arial" w:hAnsi="Arial"/>
          <w:sz w:val="22"/>
          <w:szCs w:val="22"/>
        </w:rPr>
        <w:t xml:space="preserve">Mismatch repair (MMR) is a critical DNA repair pathway responsible for correcting single-nucleotide mismatches and small insertion-deletion loops arising during DNA replication. Deficiency in MMR (dMMR), caused by loss of MLH1, MSH2, MSH6, or PMS2 protein expression or pathogenic germline mutations (Lynch syndrome), results in failure to repair these errors. The consequent accumulation of somatic mutations—particularly at short tandem repeat loci—defines microsatellite instability-high (MSI-H) tumors.</w:t>
      </w:r>
    </w:p>
    <w:p>
      <w:pPr>
        <w:spacing w:before="60" w:after="120"/>
      </w:pPr>
      <w:r>
        <w:rPr>
          <w:rFonts w:ascii="Arial" w:cs="Arial" w:eastAsia="Arial" w:hAnsi="Arial"/>
          <w:sz w:val="22"/>
          <w:szCs w:val="22"/>
        </w:rPr>
        <w:t xml:space="preserve">In mCRC, approximately 4–5% of cases harbor the dMMR/MSI-H phenotype. This subtype is associated with a distinctive biology: high tumor mutational burden (median ~40 mut/Mb vs. ~5 mut/Mb in MSS tumors), dense CD8+ tumor-infiltrating lymphocyte infiltrate, high expression of PD-L1 and other immune checkpoints, and intrinsic resistance to fluorouracil-based chemotherapy. These features collectively render dMMR/MSI-H tumors highly immunogenic and ideally suited for checkpoint blockade.</w:t>
      </w:r>
    </w:p>
    <w:p>
      <w:pPr>
        <w:spacing w:before="0" w:after="80"/>
      </w:pPr>
    </w:p>
    <w:p>
      <w:pPr>
        <w:pStyle w:val="Heading2"/>
        <w:spacing w:before="240" w:after="120"/>
      </w:pPr>
      <w:r>
        <w:rPr>
          <w:rFonts w:ascii="Arial" w:cs="Arial" w:eastAsia="Arial" w:hAnsi="Arial"/>
          <w:b/>
          <w:bCs/>
          <w:color w:val="2E75B6"/>
          <w:sz w:val="28"/>
          <w:szCs w:val="28"/>
        </w:rPr>
        <w:t xml:space="preserve">2.3 Current Treatment Landscape and Unmet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1st Line (MSI-H)</w:t>
            </w:r>
          </w:p>
        </w:tc>
        <w:tc>
          <w:tcPr>
            <w:tcW w:type="dxa" w:w="63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Pembrolizumab (KEYNOTE-177, FDA-approved 2021); FOLFOX/FOLFIRI ± bevacizumab for non-immune candidates</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2nd Line</w:t>
            </w:r>
          </w:p>
        </w:tc>
        <w:tc>
          <w:tcPr>
            <w:tcW w:type="dxa" w:w="63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approved PD-1 inhibitor; FOLFOX/FOLFIRI ± bevacizumab/ramucirumab/ziv-aflibercept; median OS ~14 months</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3rd Line+</w:t>
            </w:r>
          </w:p>
        </w:tc>
        <w:tc>
          <w:tcPr>
            <w:tcW w:type="dxa" w:w="63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Regorafenib, TAS-102; median OS ~5–7 months</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Unmet Need</w:t>
            </w:r>
          </w:p>
        </w:tc>
        <w:tc>
          <w:tcPr>
            <w:tcW w:type="dxa" w:w="63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approved checkpoint inhibitor post-pembrolizumab progression; no proven immunotherapy option for 1st-line ineligible patients</w:t>
            </w:r>
          </w:p>
        </w:tc>
      </w:tr>
    </w:tbl>
    <w:p>
      <w:pPr>
        <w:spacing w:before="0" w:after="80"/>
      </w:pPr>
    </w:p>
    <w:p>
      <w:pPr>
        <w:spacing w:before="60" w:after="120"/>
      </w:pPr>
      <w:r>
        <w:rPr>
          <w:rFonts w:ascii="Arial" w:cs="Arial" w:eastAsia="Arial" w:hAnsi="Arial"/>
          <w:sz w:val="22"/>
          <w:szCs w:val="22"/>
        </w:rPr>
        <w:t xml:space="preserve">The transition from first-line pembrolizumab to second-line treatment represents the critical unmet need that cervimab addresses. Patients progressing on pembrolizumab face a landscape with no approved immunotherapy and chemotherapy regimens offering limited survival benefit. Furthermore, patients who received first-line chemotherapy due to ineligibility for immunotherapy (e.g., due to autoimmune contraindications or early treatment decisions) represent an additional population with high unmet need who may benefit from cervimab.</w:t>
      </w:r>
    </w:p>
    <w:p>
      <w:r>
        <w:br w:type="page"/>
      </w:r>
    </w:p>
    <w:p>
      <w:pPr>
        <w:pStyle w:val="Heading1"/>
        <w:pBdr>
          <w:bottom w:val="single" w:color="2E75B6" w:sz="6" w:space="1"/>
        </w:pBdr>
        <w:spacing w:before="360" w:after="120"/>
      </w:pPr>
      <w:r>
        <w:rPr>
          <w:rFonts w:ascii="Arial" w:cs="Arial" w:eastAsia="Arial" w:hAnsi="Arial"/>
          <w:b/>
          <w:bCs/>
          <w:color w:val="1F4E79"/>
          <w:sz w:val="32"/>
          <w:szCs w:val="32"/>
        </w:rPr>
        <w:t xml:space="preserve">3. CLINICAL EVIDENCE SUMMARY</w:t>
      </w:r>
    </w:p>
    <w:p>
      <w:pPr>
        <w:pStyle w:val="Heading2"/>
        <w:spacing w:before="240" w:after="120"/>
      </w:pPr>
      <w:r>
        <w:rPr>
          <w:rFonts w:ascii="Arial" w:cs="Arial" w:eastAsia="Arial" w:hAnsi="Arial"/>
          <w:b/>
          <w:bCs/>
          <w:color w:val="2E75B6"/>
          <w:sz w:val="28"/>
          <w:szCs w:val="28"/>
        </w:rPr>
        <w:t xml:space="preserve">3.1 Phase 1/2 Dose-Finding Study (CERVI-101)</w:t>
      </w:r>
    </w:p>
    <w:p>
      <w:pPr>
        <w:spacing w:before="60" w:after="120"/>
      </w:pPr>
      <w:r>
        <w:rPr>
          <w:rFonts w:ascii="Arial" w:cs="Arial" w:eastAsia="Arial" w:hAnsi="Arial"/>
          <w:sz w:val="22"/>
          <w:szCs w:val="22"/>
        </w:rPr>
        <w:t xml:space="preserve">The CERVI-101 open-label, multicenter, dose-escalation study enrolled 87 patients with advanced solid tumors including dMMR/MSI-H CRC across dose levels of 1, 3, 6, and 10 mg/kg Q3W and 400 mg Q6W. No dose-limiting toxicities were observed through the highest dose level. The RP2D of 400 mg Q6W was selected based on pharmacokinetic modeling demonstrating &gt;95% PD-1 receptor occupancy throughout the dosing interval, favorable exposure-response relationships, and patient convenience.</w:t>
      </w:r>
    </w:p>
    <w:p>
      <w:pPr>
        <w:spacing w:before="0" w:after="80"/>
      </w:pPr>
    </w:p>
    <w:p>
      <w:pPr>
        <w:pStyle w:val="Heading2"/>
        <w:spacing w:before="240" w:after="120"/>
      </w:pPr>
      <w:r>
        <w:rPr>
          <w:rFonts w:ascii="Arial" w:cs="Arial" w:eastAsia="Arial" w:hAnsi="Arial"/>
          <w:b/>
          <w:bCs/>
          <w:color w:val="2E75B6"/>
          <w:sz w:val="28"/>
          <w:szCs w:val="28"/>
        </w:rPr>
        <w:t xml:space="preserve">3.2 Phase 3 Pivotal Trial: CERVI-301</w:t>
      </w:r>
    </w:p>
    <w:p>
      <w:pPr>
        <w:pStyle w:val="Heading3"/>
        <w:spacing w:before="240" w:after="120"/>
      </w:pPr>
      <w:r>
        <w:rPr>
          <w:rFonts w:ascii="Arial" w:cs="Arial" w:eastAsia="Arial" w:hAnsi="Arial"/>
          <w:b/>
          <w:bCs/>
          <w:color w:val="2E4057"/>
          <w:sz w:val="26"/>
          <w:szCs w:val="26"/>
        </w:rPr>
        <w:t xml:space="preserve">3.2.1 Trial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Phase/Design:</w:t>
            </w:r>
          </w:p>
        </w:tc>
        <w:tc>
          <w:tcPr>
            <w:tcW w:type="dxa" w:w="63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Phase 3, multicenter, international, open-label, randomized controlled trial</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Population:</w:t>
            </w:r>
          </w:p>
        </w:tc>
        <w:tc>
          <w:tcPr>
            <w:tcW w:type="dxa" w:w="63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Adults ≥18y, confirmed dMMR (IHC) or MSI-H (PCR/NGS), ECOG PS 0–2, ≥1 prior line of systemic therapy, measurable disease per RECIST 1.1</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Sample Size:</w:t>
            </w:r>
          </w:p>
        </w:tc>
        <w:tc>
          <w:tcPr>
            <w:tcW w:type="dxa" w:w="63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522 patients (1:1 randomization); 80% power to detect HR 0.65 for PFS at α=0.05 (2-sided)</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Treatment Arms:</w:t>
            </w:r>
          </w:p>
        </w:tc>
        <w:tc>
          <w:tcPr>
            <w:tcW w:type="dxa" w:w="63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Arm A: Cervimab 400 mg IV Q6W; Arm B: FOLFOX ± bev Q2W or FOLFIRI ± bev Q2W (investigator's choice)</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Primary Endpoint:</w:t>
            </w:r>
          </w:p>
        </w:tc>
        <w:tc>
          <w:tcPr>
            <w:tcW w:type="dxa" w:w="63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Progression-free survival (PFS) per RECIST v1.1, BICR</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Key Secondary:</w:t>
            </w:r>
          </w:p>
        </w:tc>
        <w:tc>
          <w:tcPr>
            <w:tcW w:type="dxa" w:w="63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Overall survival (OS), ORR, DoR, disease control rate (DCR), PROs (EORTC QLQ-C30, EQ-5D-5L)</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Stratification:</w:t>
            </w:r>
          </w:p>
        </w:tc>
        <w:tc>
          <w:tcPr>
            <w:tcW w:type="dxa" w:w="63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Prior bevacizumab use (yes/no), geographic region (US/EU vs. rest of world), ECOG PS (0–1 vs. 2)</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Sites:</w:t>
            </w:r>
          </w:p>
        </w:tc>
        <w:tc>
          <w:tcPr>
            <w:tcW w:type="dxa" w:w="63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118 investigational sites in 18 countries</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Enrollment Period:</w:t>
            </w:r>
          </w:p>
        </w:tc>
        <w:tc>
          <w:tcPr>
            <w:tcW w:type="dxa" w:w="63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January 2021 – September 2023</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 Cutoff:</w:t>
            </w:r>
          </w:p>
        </w:tc>
        <w:tc>
          <w:tcPr>
            <w:tcW w:type="dxa" w:w="63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March 15, 2025 (primary PFS analysis); OS interim analysis performed concurrently</w:t>
            </w:r>
          </w:p>
        </w:tc>
      </w:tr>
    </w:tbl>
    <w:p>
      <w:pPr>
        <w:spacing w:before="0" w:after="80"/>
      </w:pPr>
    </w:p>
    <w:p>
      <w:pPr>
        <w:pStyle w:val="Heading3"/>
        <w:spacing w:before="240" w:after="120"/>
      </w:pPr>
      <w:r>
        <w:rPr>
          <w:rFonts w:ascii="Arial" w:cs="Arial" w:eastAsia="Arial" w:hAnsi="Arial"/>
          <w:b/>
          <w:bCs/>
          <w:color w:val="2E4057"/>
          <w:sz w:val="26"/>
          <w:szCs w:val="26"/>
        </w:rPr>
        <w:t xml:space="preserve">3.2.2 Patient Population</w:t>
      </w:r>
    </w:p>
    <w:p>
      <w:pPr>
        <w:spacing w:before="60" w:after="120"/>
      </w:pPr>
      <w:r>
        <w:rPr>
          <w:rFonts w:ascii="Arial" w:cs="Arial" w:eastAsia="Arial" w:hAnsi="Arial"/>
          <w:sz w:val="22"/>
          <w:szCs w:val="22"/>
        </w:rPr>
        <w:t xml:space="preserve">At randomization, baseline characteristics were well balanced between arms. Median age was 61 years (range 22–83); 54% male; 71% ECOG PS 0–1; 58% received prior bevacizumab; 22% had liver metastases only; 31% had ≥3 metastatic sites. Lynch syndrome was confirmed in 34% of patients. MMR/MSI status was confirmed by local and central laboratory testing with &gt;99% concordance.</w:t>
      </w:r>
    </w:p>
    <w:p>
      <w:pPr>
        <w:spacing w:before="0" w:after="80"/>
      </w:pPr>
    </w:p>
    <w:p>
      <w:pPr>
        <w:pStyle w:val="Heading3"/>
        <w:spacing w:before="240" w:after="120"/>
      </w:pPr>
      <w:r>
        <w:rPr>
          <w:rFonts w:ascii="Arial" w:cs="Arial" w:eastAsia="Arial" w:hAnsi="Arial"/>
          <w:b/>
          <w:bCs/>
          <w:color w:val="2E4057"/>
          <w:sz w:val="26"/>
          <w:szCs w:val="26"/>
        </w:rPr>
        <w:t xml:space="preserve">3.2.3 Efficacy Results</w:t>
      </w:r>
    </w:p>
    <w:p>
      <w:pPr>
        <w:spacing w:before="60" w:after="120"/>
      </w:pPr>
      <w:r>
        <w:rPr>
          <w:rFonts w:ascii="Arial" w:cs="Arial" w:eastAsia="Arial" w:hAnsi="Arial"/>
          <w:sz w:val="22"/>
          <w:szCs w:val="22"/>
        </w:rPr>
        <w:t xml:space="preserve">At the primary data cutoff (March 2025), median follow-up was 22.7 months. The study met its primary endpoint with a statistically significant and clinically meaningful improvement in PFS: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gridSpan w:val="1"/>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Efficacy Endpoint</w:t>
            </w:r>
          </w:p>
        </w:tc>
        <w:tc>
          <w:tcPr>
            <w:tcW w:type="dxa" w:w="1872"/>
            <w:gridSpan w:val="1"/>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Cervimab</w:t>
            </w:r>
          </w:p>
        </w:tc>
        <w:tc>
          <w:tcPr>
            <w:tcW w:type="dxa" w:w="1872"/>
            <w:gridSpan w:val="1"/>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Chemotherapy</w:t>
            </w:r>
          </w:p>
        </w:tc>
        <w:tc>
          <w:tcPr>
            <w:tcW w:type="dxa" w:w="1872"/>
            <w:gridSpan w:val="1"/>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HR/Diff (95% CI)</w:t>
            </w:r>
          </w:p>
        </w:tc>
        <w:tc>
          <w:tcPr>
            <w:tcW w:type="dxa" w:w="1872"/>
            <w:gridSpan w:val="1"/>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p-value</w:t>
            </w:r>
          </w:p>
        </w:tc>
      </w:tr>
      <w:tr>
        <w:tc>
          <w:tcPr>
            <w:tcW w:type="dxa" w:w="1872"/>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Median PFS (months)</w:t>
            </w:r>
          </w:p>
        </w:tc>
        <w:tc>
          <w:tcPr>
            <w:tcW w:type="dxa" w:w="1872"/>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16.3 (13.2–20.1)</w:t>
            </w:r>
          </w:p>
        </w:tc>
        <w:tc>
          <w:tcPr>
            <w:tcW w:type="dxa" w:w="1872"/>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6.2 (5.1–7.4)</w:t>
            </w:r>
          </w:p>
        </w:tc>
        <w:tc>
          <w:tcPr>
            <w:tcW w:type="dxa" w:w="1872"/>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HR 0.39 (0.31–0.50)</w:t>
            </w:r>
          </w:p>
        </w:tc>
        <w:tc>
          <w:tcPr>
            <w:tcW w:type="dxa" w:w="1872"/>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&lt;0.0001</w:t>
            </w:r>
          </w:p>
        </w:tc>
      </w:tr>
      <w:tr>
        <w:tc>
          <w:tcPr>
            <w:tcW w:type="dxa" w:w="1872"/>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PFS rate at 6 months</w:t>
            </w:r>
          </w:p>
        </w:tc>
        <w:tc>
          <w:tcPr>
            <w:tcW w:type="dxa" w:w="1872"/>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72.4%</w:t>
            </w:r>
          </w:p>
        </w:tc>
        <w:tc>
          <w:tcPr>
            <w:tcW w:type="dxa" w:w="1872"/>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48.3%</w:t>
            </w:r>
          </w:p>
        </w:tc>
        <w:tc>
          <w:tcPr>
            <w:tcW w:type="dxa" w:w="1872"/>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872"/>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1872"/>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PFS rate at 12 months</w:t>
            </w:r>
          </w:p>
        </w:tc>
        <w:tc>
          <w:tcPr>
            <w:tcW w:type="dxa" w:w="1872"/>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58.4%</w:t>
            </w:r>
          </w:p>
        </w:tc>
        <w:tc>
          <w:tcPr>
            <w:tcW w:type="dxa" w:w="1872"/>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28.1%</w:t>
            </w:r>
          </w:p>
        </w:tc>
        <w:tc>
          <w:tcPr>
            <w:tcW w:type="dxa" w:w="1872"/>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872"/>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1872"/>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PFS rate at 18 months</w:t>
            </w:r>
          </w:p>
        </w:tc>
        <w:tc>
          <w:tcPr>
            <w:tcW w:type="dxa" w:w="1872"/>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47.8%</w:t>
            </w:r>
          </w:p>
        </w:tc>
        <w:tc>
          <w:tcPr>
            <w:tcW w:type="dxa" w:w="1872"/>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14.2%</w:t>
            </w:r>
          </w:p>
        </w:tc>
        <w:tc>
          <w:tcPr>
            <w:tcW w:type="dxa" w:w="1872"/>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872"/>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1872"/>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Median OS (months)</w:t>
            </w:r>
          </w:p>
        </w:tc>
        <w:tc>
          <w:tcPr>
            <w:tcW w:type="dxa" w:w="1872"/>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NR</w:t>
            </w:r>
          </w:p>
        </w:tc>
        <w:tc>
          <w:tcPr>
            <w:tcW w:type="dxa" w:w="1872"/>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14.7 (12.6–17.1)</w:t>
            </w:r>
          </w:p>
        </w:tc>
        <w:tc>
          <w:tcPr>
            <w:tcW w:type="dxa" w:w="1872"/>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HR 0.51 (0.38–0.68)</w:t>
            </w:r>
          </w:p>
        </w:tc>
        <w:tc>
          <w:tcPr>
            <w:tcW w:type="dxa" w:w="1872"/>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&lt;0.0001</w:t>
            </w:r>
          </w:p>
        </w:tc>
      </w:tr>
      <w:tr>
        <w:tc>
          <w:tcPr>
            <w:tcW w:type="dxa" w:w="1872"/>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OS rate at 12 months</w:t>
            </w:r>
          </w:p>
        </w:tc>
        <w:tc>
          <w:tcPr>
            <w:tcW w:type="dxa" w:w="1872"/>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74.3%</w:t>
            </w:r>
          </w:p>
        </w:tc>
        <w:tc>
          <w:tcPr>
            <w:tcW w:type="dxa" w:w="1872"/>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58.1%</w:t>
            </w:r>
          </w:p>
        </w:tc>
        <w:tc>
          <w:tcPr>
            <w:tcW w:type="dxa" w:w="1872"/>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872"/>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1872"/>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OS rate at 18 months</w:t>
            </w:r>
          </w:p>
        </w:tc>
        <w:tc>
          <w:tcPr>
            <w:tcW w:type="dxa" w:w="1872"/>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65.7%</w:t>
            </w:r>
          </w:p>
        </w:tc>
        <w:tc>
          <w:tcPr>
            <w:tcW w:type="dxa" w:w="1872"/>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42.3%</w:t>
            </w:r>
          </w:p>
        </w:tc>
        <w:tc>
          <w:tcPr>
            <w:tcW w:type="dxa" w:w="1872"/>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872"/>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1872"/>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ORR (BICR)</w:t>
            </w:r>
          </w:p>
        </w:tc>
        <w:tc>
          <w:tcPr>
            <w:tcW w:type="dxa" w:w="1872"/>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43.7%</w:t>
            </w:r>
          </w:p>
        </w:tc>
        <w:tc>
          <w:tcPr>
            <w:tcW w:type="dxa" w:w="1872"/>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18.4%</w:t>
            </w:r>
          </w:p>
        </w:tc>
        <w:tc>
          <w:tcPr>
            <w:tcW w:type="dxa" w:w="1872"/>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+25.3% (17.3–33.3%)</w:t>
            </w:r>
          </w:p>
        </w:tc>
        <w:tc>
          <w:tcPr>
            <w:tcW w:type="dxa" w:w="1872"/>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&lt;0.0001</w:t>
            </w:r>
          </w:p>
        </w:tc>
      </w:tr>
      <w:tr>
        <w:tc>
          <w:tcPr>
            <w:tcW w:type="dxa" w:w="1872"/>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 rate</w:t>
            </w:r>
          </w:p>
        </w:tc>
        <w:tc>
          <w:tcPr>
            <w:tcW w:type="dxa" w:w="1872"/>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11.5%</w:t>
            </w:r>
          </w:p>
        </w:tc>
        <w:tc>
          <w:tcPr>
            <w:tcW w:type="dxa" w:w="1872"/>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2.3%</w:t>
            </w:r>
          </w:p>
        </w:tc>
        <w:tc>
          <w:tcPr>
            <w:tcW w:type="dxa" w:w="1872"/>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872"/>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1872"/>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 rate</w:t>
            </w:r>
          </w:p>
        </w:tc>
        <w:tc>
          <w:tcPr>
            <w:tcW w:type="dxa" w:w="1872"/>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32.2%</w:t>
            </w:r>
          </w:p>
        </w:tc>
        <w:tc>
          <w:tcPr>
            <w:tcW w:type="dxa" w:w="1872"/>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16.1%</w:t>
            </w:r>
          </w:p>
        </w:tc>
        <w:tc>
          <w:tcPr>
            <w:tcW w:type="dxa" w:w="1872"/>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872"/>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1872"/>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DCR</w:t>
            </w:r>
          </w:p>
        </w:tc>
        <w:tc>
          <w:tcPr>
            <w:tcW w:type="dxa" w:w="1872"/>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78.5%</w:t>
            </w:r>
          </w:p>
        </w:tc>
        <w:tc>
          <w:tcPr>
            <w:tcW w:type="dxa" w:w="1872"/>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61.7%</w:t>
            </w:r>
          </w:p>
        </w:tc>
        <w:tc>
          <w:tcPr>
            <w:tcW w:type="dxa" w:w="1872"/>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872"/>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1872"/>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Median DoR</w:t>
            </w:r>
          </w:p>
        </w:tc>
        <w:tc>
          <w:tcPr>
            <w:tcW w:type="dxa" w:w="1872"/>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NR (&gt;24 mo)</w:t>
            </w:r>
          </w:p>
        </w:tc>
        <w:tc>
          <w:tcPr>
            <w:tcW w:type="dxa" w:w="1872"/>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7.3 (5.8–9.4)</w:t>
            </w:r>
          </w:p>
        </w:tc>
        <w:tc>
          <w:tcPr>
            <w:tcW w:type="dxa" w:w="1872"/>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872"/>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bl>
    <w:p>
      <w:pPr>
        <w:spacing w:before="0" w:after="80"/>
      </w:pPr>
    </w:p>
    <w:p>
      <w:pPr>
        <w:pStyle w:val="Heading3"/>
        <w:spacing w:before="240" w:after="120"/>
      </w:pPr>
      <w:r>
        <w:rPr>
          <w:rFonts w:ascii="Arial" w:cs="Arial" w:eastAsia="Arial" w:hAnsi="Arial"/>
          <w:b/>
          <w:bCs/>
          <w:color w:val="2E4057"/>
          <w:sz w:val="26"/>
          <w:szCs w:val="26"/>
        </w:rPr>
        <w:t xml:space="preserve">3.2.4 Safety Profile</w:t>
      </w:r>
    </w:p>
    <w:p>
      <w:pPr>
        <w:spacing w:before="60" w:after="120"/>
      </w:pPr>
      <w:r>
        <w:rPr>
          <w:rFonts w:ascii="Arial" w:cs="Arial" w:eastAsia="Arial" w:hAnsi="Arial"/>
          <w:sz w:val="22"/>
          <w:szCs w:val="22"/>
        </w:rPr>
        <w:t xml:space="preserve">Cervimab demonstrated a substantially more favorable safety profile compared to chemotherapy, consistent with the known immune-related adverse event (irAE) profile of PD-1 inhibitors and the avoidance of cumulative cytotoxic toxicity.</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Adverse Event Category</w:t>
            </w:r>
          </w:p>
        </w:tc>
        <w:tc>
          <w:tcPr>
            <w:tcW w:type="dxa" w:w="3120"/>
            <w:gridSpan w:val="1"/>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Cervimab (n=261)</w:t>
            </w:r>
          </w:p>
        </w:tc>
        <w:tc>
          <w:tcPr>
            <w:tcW w:type="dxa" w:w="3120"/>
            <w:gridSpan w:val="1"/>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Chemotherapy (n=261)</w:t>
            </w:r>
          </w:p>
        </w:tc>
      </w:tr>
      <w:tr>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Any TRAE</w:t>
            </w:r>
          </w:p>
        </w:tc>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71.3%</w:t>
            </w:r>
          </w:p>
        </w:tc>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94.3%</w:t>
            </w:r>
          </w:p>
        </w:tc>
      </w:tr>
      <w:tr>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Grade 3–4 TRAE</w:t>
            </w:r>
          </w:p>
        </w:tc>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18.2%</w:t>
            </w:r>
          </w:p>
        </w:tc>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47.3%</w:t>
            </w:r>
          </w:p>
        </w:tc>
      </w:tr>
      <w:tr>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Serious TRAE</w:t>
            </w:r>
          </w:p>
        </w:tc>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12.6%</w:t>
            </w:r>
          </w:p>
        </w:tc>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24.1%</w:t>
            </w:r>
          </w:p>
        </w:tc>
      </w:tr>
      <w:tr>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TRAE leading to discontinuation</w:t>
            </w:r>
          </w:p>
        </w:tc>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5.7%</w:t>
            </w:r>
          </w:p>
        </w:tc>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14.2%</w:t>
            </w:r>
          </w:p>
        </w:tc>
      </w:tr>
      <w:tr>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Any irAE</w:t>
            </w:r>
          </w:p>
        </w:tc>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31.4%</w:t>
            </w:r>
          </w:p>
        </w:tc>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w:t>
            </w:r>
          </w:p>
        </w:tc>
      </w:tr>
      <w:tr>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Grade 3–4 irAE</w:t>
            </w:r>
          </w:p>
        </w:tc>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6.1%</w:t>
            </w:r>
          </w:p>
        </w:tc>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w:t>
            </w:r>
          </w:p>
        </w:tc>
      </w:tr>
      <w:tr>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Colitis (any grade)</w:t>
            </w:r>
          </w:p>
        </w:tc>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7.3%</w:t>
            </w:r>
          </w:p>
        </w:tc>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w:t>
            </w:r>
          </w:p>
        </w:tc>
      </w:tr>
      <w:tr>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Hepatitis (any grade)</w:t>
            </w:r>
          </w:p>
        </w:tc>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4.2%</w:t>
            </w:r>
          </w:p>
        </w:tc>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w:t>
            </w:r>
          </w:p>
        </w:tc>
      </w:tr>
      <w:tr>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Hypothyroidism (any grade)</w:t>
            </w:r>
          </w:p>
        </w:tc>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9.6%</w:t>
            </w:r>
          </w:p>
        </w:tc>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w:t>
            </w:r>
          </w:p>
        </w:tc>
      </w:tr>
      <w:tr>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Peripheral neuropathy (any grade)</w:t>
            </w:r>
          </w:p>
        </w:tc>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3.1%</w:t>
            </w:r>
          </w:p>
        </w:tc>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38.7%</w:t>
            </w:r>
          </w:p>
        </w:tc>
      </w:tr>
      <w:tr>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Neutropenia Grade 3–4</w:t>
            </w:r>
          </w:p>
        </w:tc>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34.1%</w:t>
            </w:r>
          </w:p>
        </w:tc>
      </w:tr>
      <w:tr>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Nausea (any grade)</w:t>
            </w:r>
          </w:p>
        </w:tc>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14.2%</w:t>
            </w:r>
          </w:p>
        </w:tc>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68.4%</w:t>
            </w:r>
          </w:p>
        </w:tc>
      </w:tr>
      <w:tr>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Fatigue (any grade)</w:t>
            </w:r>
          </w:p>
        </w:tc>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24.3%</w:t>
            </w:r>
          </w:p>
        </w:tc>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52.1%</w:t>
            </w:r>
          </w:p>
        </w:tc>
      </w:tr>
      <w:tr>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Alopecia (any grade)</w:t>
            </w:r>
          </w:p>
        </w:tc>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2.1%</w:t>
            </w:r>
          </w:p>
        </w:tc>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28.4%</w:t>
            </w:r>
          </w:p>
        </w:tc>
      </w:tr>
      <w:tr>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Treatment-related deaths</w:t>
            </w:r>
          </w:p>
        </w:tc>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0.4%</w:t>
            </w:r>
          </w:p>
        </w:tc>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w:t>
            </w:r>
          </w:p>
        </w:tc>
      </w:tr>
    </w:tbl>
    <w:p>
      <w:pPr>
        <w:spacing w:before="0" w:after="80"/>
      </w:pPr>
    </w:p>
    <w:p>
      <w:pPr>
        <w:pStyle w:val="Heading2"/>
        <w:spacing w:before="240" w:after="120"/>
      </w:pPr>
      <w:r>
        <w:rPr>
          <w:rFonts w:ascii="Arial" w:cs="Arial" w:eastAsia="Arial" w:hAnsi="Arial"/>
          <w:b/>
          <w:bCs/>
          <w:color w:val="2E75B6"/>
          <w:sz w:val="28"/>
          <w:szCs w:val="28"/>
        </w:rPr>
        <w:t xml:space="preserve">3.3 Patient-Reported Outcomes</w:t>
      </w:r>
    </w:p>
    <w:p>
      <w:pPr>
        <w:spacing w:before="60" w:after="120"/>
      </w:pPr>
      <w:r>
        <w:rPr>
          <w:rFonts w:ascii="Arial" w:cs="Arial" w:eastAsia="Arial" w:hAnsi="Arial"/>
          <w:sz w:val="22"/>
          <w:szCs w:val="22"/>
        </w:rPr>
        <w:t xml:space="preserve">PRO data from CERVI-301 demonstrate that cervimab preserves or improves health-related quality of life (HRQoL) while chemotherapy is associated with meaningful deterioration across multiple domains. The EORTC QLQ-C30 Global Health Status/QoL scale showed a mean change from baseline of +8.4 points in the cervimab arm versus -4.1 points in the chemotherapy arm at week 12 (clinically meaningful threshold: 10 points; statistically significant difference of 12.5 points, p=0.0003). Time to definitive deterioration in GHS/QoL (≥10-point decline) was significantly prolonged with cervimab (NR vs. 5.9 months; HR 0.41, p&lt;0.0001). The EQ-5D-5L utility value at week 12 was 0.74 for cervimab versus 0.64 for chemotherapy (difference +0.10), consistent with the cost-effectiveness model inputs detailed in the HEOR dossier.</w:t>
      </w:r>
    </w:p>
    <w:p>
      <w:r>
        <w:br w:type="page"/>
      </w:r>
    </w:p>
    <w:p>
      <w:pPr>
        <w:pStyle w:val="Heading1"/>
        <w:pBdr>
          <w:bottom w:val="single" w:color="2E75B6" w:sz="6" w:space="1"/>
        </w:pBdr>
        <w:spacing w:before="360" w:after="120"/>
      </w:pPr>
      <w:r>
        <w:rPr>
          <w:rFonts w:ascii="Arial" w:cs="Arial" w:eastAsia="Arial" w:hAnsi="Arial"/>
          <w:b/>
          <w:bCs/>
          <w:color w:val="1F4E79"/>
          <w:sz w:val="32"/>
          <w:szCs w:val="32"/>
        </w:rPr>
        <w:t xml:space="preserve">4. COMPARATIVE EFFECTIVENESS</w:t>
      </w:r>
    </w:p>
    <w:p>
      <w:pPr>
        <w:pStyle w:val="Heading2"/>
        <w:spacing w:before="240" w:after="120"/>
      </w:pPr>
      <w:r>
        <w:rPr>
          <w:rFonts w:ascii="Arial" w:cs="Arial" w:eastAsia="Arial" w:hAnsi="Arial"/>
          <w:b/>
          <w:bCs/>
          <w:color w:val="2E75B6"/>
          <w:sz w:val="28"/>
          <w:szCs w:val="28"/>
        </w:rPr>
        <w:t xml:space="preserve">4.1 Indirect Treatment Comparisons</w:t>
      </w:r>
    </w:p>
    <w:p>
      <w:pPr>
        <w:spacing w:before="60" w:after="120"/>
      </w:pPr>
      <w:r>
        <w:rPr>
          <w:rFonts w:ascii="Arial" w:cs="Arial" w:eastAsia="Arial" w:hAnsi="Arial"/>
          <w:sz w:val="22"/>
          <w:szCs w:val="22"/>
        </w:rPr>
        <w:t xml:space="preserve">No head-to-head trials compare cervimab to pembrolizumab (approved first-line standard of care) or other checkpoint inhibitors in the mCRC 2nd-line setting. Network meta-analysis (NMA) was conducted using a Bayesian random-effects model incorporating published data from KEYNOTE-177 (pembrolizumab vs. chemotherapy in 1L), CheckMate 142 (nivolumab monotherapy in 2L+ dMMR mCRC), and cervimab CERVI-301.</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Comparison</w:t>
            </w:r>
          </w:p>
        </w:tc>
        <w:tc>
          <w:tcPr>
            <w:tcW w:type="dxa" w:w="2340"/>
            <w:gridSpan w:val="1"/>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PFS HR (95% CrI)</w:t>
            </w:r>
          </w:p>
        </w:tc>
        <w:tc>
          <w:tcPr>
            <w:tcW w:type="dxa" w:w="2340"/>
            <w:gridSpan w:val="1"/>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OS HR (95% CrI)</w:t>
            </w:r>
          </w:p>
        </w:tc>
        <w:tc>
          <w:tcPr>
            <w:tcW w:type="dxa" w:w="2340"/>
            <w:gridSpan w:val="1"/>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Data Source</w:t>
            </w:r>
          </w:p>
        </w:tc>
      </w:tr>
      <w:tr>
        <w:tc>
          <w:tcPr>
            <w:tcW w:type="dxa" w:w="23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Cervimab vs. FOLFOX/FOLFIRI</w:t>
            </w:r>
          </w:p>
        </w:tc>
        <w:tc>
          <w:tcPr>
            <w:tcW w:type="dxa" w:w="23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0.39 (0.31–0.50)</w:t>
            </w:r>
          </w:p>
        </w:tc>
        <w:tc>
          <w:tcPr>
            <w:tcW w:type="dxa" w:w="23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0.51 (0.38–0.68)</w:t>
            </w:r>
          </w:p>
        </w:tc>
        <w:tc>
          <w:tcPr>
            <w:tcW w:type="dxa" w:w="23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CERVI-301 (direct)</w:t>
            </w:r>
          </w:p>
        </w:tc>
      </w:tr>
      <w:tr>
        <w:tc>
          <w:tcPr>
            <w:tcW w:type="dxa" w:w="23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Cervimab vs. Nivolumab (2L)</w:t>
            </w:r>
          </w:p>
        </w:tc>
        <w:tc>
          <w:tcPr>
            <w:tcW w:type="dxa" w:w="23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0.81 (0.52–1.26)</w:t>
            </w:r>
          </w:p>
        </w:tc>
        <w:tc>
          <w:tcPr>
            <w:tcW w:type="dxa" w:w="23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0.79 (0.48–1.29)</w:t>
            </w:r>
          </w:p>
        </w:tc>
        <w:tc>
          <w:tcPr>
            <w:tcW w:type="dxa" w:w="23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NMA (indirect)</w:t>
            </w:r>
          </w:p>
        </w:tc>
      </w:tr>
      <w:tr>
        <w:tc>
          <w:tcPr>
            <w:tcW w:type="dxa" w:w="23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Cervimab vs. Pembrolizumab (1L)</w:t>
            </w:r>
          </w:p>
        </w:tc>
        <w:tc>
          <w:tcPr>
            <w:tcW w:type="dxa" w:w="23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0.88 (0.61–1.27)</w:t>
            </w:r>
          </w:p>
        </w:tc>
        <w:tc>
          <w:tcPr>
            <w:tcW w:type="dxa" w:w="23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0.84 (0.57–1.23)</w:t>
            </w:r>
          </w:p>
        </w:tc>
        <w:tc>
          <w:tcPr>
            <w:tcW w:type="dxa" w:w="23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NMA (indirect; cross-trial)</w:t>
            </w:r>
          </w:p>
        </w:tc>
      </w:tr>
      <w:tr>
        <w:tc>
          <w:tcPr>
            <w:tcW w:type="dxa" w:w="23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Cervimab vs. Regorafenib (3L)</w:t>
            </w:r>
          </w:p>
        </w:tc>
        <w:tc>
          <w:tcPr>
            <w:tcW w:type="dxa" w:w="23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0.29 (0.20–0.43)</w:t>
            </w:r>
          </w:p>
        </w:tc>
        <w:tc>
          <w:tcPr>
            <w:tcW w:type="dxa" w:w="23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0.38 (0.26–0.54)</w:t>
            </w:r>
          </w:p>
        </w:tc>
        <w:tc>
          <w:tcPr>
            <w:tcW w:type="dxa" w:w="234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NMA (indirect)</w:t>
            </w:r>
          </w:p>
        </w:tc>
      </w:tr>
    </w:tbl>
    <w:p>
      <w:pPr>
        <w:spacing w:before="0" w:after="80"/>
      </w:pPr>
    </w:p>
    <w:p>
      <w:pPr>
        <w:spacing w:before="60" w:after="120"/>
      </w:pPr>
      <w:r>
        <w:rPr>
          <w:rFonts w:ascii="Arial" w:cs="Arial" w:eastAsia="Arial" w:hAnsi="Arial"/>
          <w:sz w:val="22"/>
          <w:szCs w:val="22"/>
        </w:rPr>
        <w:t xml:space="preserve">The NMA results suggest cervimab may have comparable efficacy to other approved checkpoint inhibitors in this molecular subtype, with confidence intervals that are consistent with non-inferiority but insufficiently powered to establish superiority. The direct comparison with chemotherapy in CERVI-301 provides the primary basis for the regulatory and HTA submissions.</w:t>
      </w:r>
    </w:p>
    <w:p>
      <w:r>
        <w:br w:type="page"/>
      </w:r>
    </w:p>
    <w:p>
      <w:pPr>
        <w:pStyle w:val="Heading1"/>
        <w:pBdr>
          <w:bottom w:val="single" w:color="2E75B6" w:sz="6" w:space="1"/>
        </w:pBdr>
        <w:spacing w:before="360" w:after="120"/>
      </w:pPr>
      <w:r>
        <w:rPr>
          <w:rFonts w:ascii="Arial" w:cs="Arial" w:eastAsia="Arial" w:hAnsi="Arial"/>
          <w:b/>
          <w:bCs/>
          <w:color w:val="1F4E79"/>
          <w:sz w:val="32"/>
          <w:szCs w:val="32"/>
        </w:rPr>
        <w:t xml:space="preserve">5. HUMANISTIC BURDEN AND PATIENT PERSPECTIVE</w:t>
      </w:r>
    </w:p>
    <w:p>
      <w:pPr>
        <w:pStyle w:val="Heading2"/>
        <w:spacing w:before="240" w:after="120"/>
      </w:pPr>
      <w:r>
        <w:rPr>
          <w:rFonts w:ascii="Arial" w:cs="Arial" w:eastAsia="Arial" w:hAnsi="Arial"/>
          <w:b/>
          <w:bCs/>
          <w:color w:val="2E75B6"/>
          <w:sz w:val="28"/>
          <w:szCs w:val="28"/>
        </w:rPr>
        <w:t xml:space="preserve">5.1 Impact of dMMR/MSI-H mCRC on Patients</w:t>
      </w:r>
    </w:p>
    <w:p>
      <w:pPr>
        <w:spacing w:before="60" w:after="120"/>
      </w:pPr>
      <w:r>
        <w:rPr>
          <w:rFonts w:ascii="Arial" w:cs="Arial" w:eastAsia="Arial" w:hAnsi="Arial"/>
          <w:sz w:val="22"/>
          <w:szCs w:val="22"/>
        </w:rPr>
        <w:t xml:space="preserve">Patients with dMMR/MSI-H mCRC experience a substantial humanistic burden. The diagnosis of metastatic cancer is profoundly distressing, with significant anxiety, depression, and existential concerns reported. Functional impairment from disease symptoms (abdominal pain, diarrhea, fatigue, cachexia) and from the adverse effects of chemotherapy (nausea, vomiting, peripheral neuropathy, alopecia, cytopenias) compound the psychological burden.</w:t>
      </w:r>
    </w:p>
    <w:p>
      <w:pPr>
        <w:spacing w:before="60" w:after="120"/>
      </w:pPr>
      <w:r>
        <w:rPr>
          <w:rFonts w:ascii="Arial" w:cs="Arial" w:eastAsia="Arial" w:hAnsi="Arial"/>
          <w:sz w:val="22"/>
          <w:szCs w:val="22"/>
        </w:rPr>
        <w:t xml:space="preserve">A prospective substudy within CERVI-301 assessed caregiver burden using the Zarit Burden Interview (ZBI) and demonstrated significantly lower caregiver burden in the cervimab arm (mean ZBI score 18.4 vs. 27.6 at week 24, p=0.002), consistent with the reduced toxicity profile and preserved patient function.</w:t>
      </w:r>
    </w:p>
    <w:p>
      <w:pPr>
        <w:spacing w:before="0" w:after="80"/>
      </w:pPr>
    </w:p>
    <w:p>
      <w:pPr>
        <w:pStyle w:val="Heading2"/>
        <w:spacing w:before="240" w:after="120"/>
      </w:pPr>
      <w:r>
        <w:rPr>
          <w:rFonts w:ascii="Arial" w:cs="Arial" w:eastAsia="Arial" w:hAnsi="Arial"/>
          <w:b/>
          <w:bCs/>
          <w:color w:val="2E75B6"/>
          <w:sz w:val="28"/>
          <w:szCs w:val="28"/>
        </w:rPr>
        <w:t xml:space="preserve">5.2 Patient Advocacy Input</w:t>
      </w:r>
    </w:p>
    <w:p>
      <w:pPr>
        <w:spacing w:before="60" w:after="120"/>
      </w:pPr>
      <w:r>
        <w:rPr>
          <w:rFonts w:ascii="Arial" w:cs="Arial" w:eastAsia="Arial" w:hAnsi="Arial"/>
          <w:sz w:val="22"/>
          <w:szCs w:val="22"/>
        </w:rPr>
        <w:t xml:space="preserve">Structured qualitative interviews and focus groups with 42 patients with dMMR/MSI-H mCRC and 18 caregivers were conducted by the sponsor in partnership with the Colorectal Cancer Alliance (CCA) and Fight Colorectal Cancer (FCC) to inform the evidence development program. Key themes identified included: (1) overwhelming preference for oral or less-frequent IV administration; (2) strong aversion to alopecia, nausea, and peripheral neuropathy; (3) prioritization of time with family and functional independence over maximal tumor response; and (4) willingness to accept immune-related risks if clearly explained. These patient-centered insights informed the Q6W dosing schedule design and the PRO battery selection for CERVI-301.</w:t>
      </w:r>
    </w:p>
    <w:p>
      <w:r>
        <w:br w:type="page"/>
      </w:r>
    </w:p>
    <w:p>
      <w:pPr>
        <w:pStyle w:val="Heading1"/>
        <w:pBdr>
          <w:bottom w:val="single" w:color="2E75B6" w:sz="6" w:space="1"/>
        </w:pBdr>
        <w:spacing w:before="360" w:after="120"/>
      </w:pPr>
      <w:r>
        <w:rPr>
          <w:rFonts w:ascii="Arial" w:cs="Arial" w:eastAsia="Arial" w:hAnsi="Arial"/>
          <w:b/>
          <w:bCs/>
          <w:color w:val="1F4E79"/>
          <w:sz w:val="32"/>
          <w:szCs w:val="32"/>
        </w:rPr>
        <w:t xml:space="preserve">6. ECONOMIC EVIDENCE SUMMARY</w:t>
      </w:r>
    </w:p>
    <w:p>
      <w:pPr>
        <w:pStyle w:val="Heading2"/>
        <w:spacing w:before="240" w:after="120"/>
      </w:pPr>
      <w:r>
        <w:rPr>
          <w:rFonts w:ascii="Arial" w:cs="Arial" w:eastAsia="Arial" w:hAnsi="Arial"/>
          <w:b/>
          <w:bCs/>
          <w:color w:val="2E75B6"/>
          <w:sz w:val="28"/>
          <w:szCs w:val="28"/>
        </w:rPr>
        <w:t xml:space="preserve">6.1 Overview of Health Economic Analyses</w:t>
      </w:r>
    </w:p>
    <w:p>
      <w:pPr>
        <w:spacing w:before="60" w:after="120"/>
      </w:pPr>
      <w:r>
        <w:rPr>
          <w:rFonts w:ascii="Arial" w:cs="Arial" w:eastAsia="Arial" w:hAnsi="Arial"/>
          <w:sz w:val="22"/>
          <w:szCs w:val="22"/>
        </w:rPr>
        <w:t xml:space="preserve">A comprehensive health economic evidence package supports the value of cervimab. This package includes: (1) a decision-analytic cost-effectiveness model comparing cervimab to standard chemotherapy in dMMR/MSI-H mCRC; (2) a budget impact analysis projecting the financial impact of cervimab formulary adoption on US payer budgets; and (3) a full value of the money framework assessment incorporating elements beyond traditional QALY-based analysis.</w:t>
      </w:r>
    </w:p>
    <w:p>
      <w:pPr>
        <w:spacing w:before="0" w:after="80"/>
      </w:pPr>
    </w:p>
    <w:p>
      <w:pPr>
        <w:pStyle w:val="Heading2"/>
        <w:spacing w:before="240" w:after="120"/>
      </w:pPr>
      <w:r>
        <w:rPr>
          <w:rFonts w:ascii="Arial" w:cs="Arial" w:eastAsia="Arial" w:hAnsi="Arial"/>
          <w:b/>
          <w:bCs/>
          <w:color w:val="2E75B6"/>
          <w:sz w:val="28"/>
          <w:szCs w:val="28"/>
        </w:rPr>
        <w:t xml:space="preserve">6.2 Cost-Effectiveness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Model Type:</w:t>
            </w:r>
          </w:p>
        </w:tc>
        <w:tc>
          <w:tcPr>
            <w:tcW w:type="dxa" w:w="63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Partitioned survival model (3-state: PF, PD, Death)</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Time Horizon:</w:t>
            </w:r>
          </w:p>
        </w:tc>
        <w:tc>
          <w:tcPr>
            <w:tcW w:type="dxa" w:w="63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Lifetime (30 years)</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Perspective:</w:t>
            </w:r>
          </w:p>
        </w:tc>
        <w:tc>
          <w:tcPr>
            <w:tcW w:type="dxa" w:w="63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 third-party payer</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Discount Rate:</w:t>
            </w:r>
          </w:p>
        </w:tc>
        <w:tc>
          <w:tcPr>
            <w:tcW w:type="dxa" w:w="63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 per annum (costs and outcomes)</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Base Case ICER:</w:t>
            </w:r>
          </w:p>
        </w:tc>
        <w:tc>
          <w:tcPr>
            <w:tcW w:type="dxa" w:w="63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$142,300 per QALY gained</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Incremental QALYs:</w:t>
            </w:r>
          </w:p>
        </w:tc>
        <w:tc>
          <w:tcPr>
            <w:tcW w:type="dxa" w:w="63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2.21 QALYs per patient</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Incremental Costs:</w:t>
            </w:r>
          </w:p>
        </w:tc>
        <w:tc>
          <w:tcPr>
            <w:tcW w:type="dxa" w:w="63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$314,283 per patient (incremental drug + admin – savings)</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95% CI (PSA):</w:t>
            </w:r>
          </w:p>
        </w:tc>
        <w:tc>
          <w:tcPr>
            <w:tcW w:type="dxa" w:w="63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$89,400 – $218,700 per QALY gained</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At WTP $150K/QALY:</w:t>
            </w:r>
          </w:p>
        </w:tc>
        <w:tc>
          <w:tcPr>
            <w:tcW w:type="dxa" w:w="63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Probability cost-effective: 54%</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At WTP $200K/QALY:</w:t>
            </w:r>
          </w:p>
        </w:tc>
        <w:tc>
          <w:tcPr>
            <w:tcW w:type="dxa" w:w="63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Probability cost-effective: 79%</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Proposed WAC:</w:t>
            </w:r>
          </w:p>
        </w:tc>
        <w:tc>
          <w:tcPr>
            <w:tcW w:type="dxa" w:w="63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$18,500 per infusion (400 mg Q6W)</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Net Price Estimate:</w:t>
            </w:r>
          </w:p>
        </w:tc>
        <w:tc>
          <w:tcPr>
            <w:tcW w:type="dxa" w:w="63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~$14,000 per infusion (assuming ~25% rebate)</w:t>
            </w:r>
          </w:p>
        </w:tc>
      </w:tr>
    </w:tbl>
    <w:p>
      <w:pPr>
        <w:spacing w:before="0" w:after="80"/>
      </w:pPr>
    </w:p>
    <w:p>
      <w:pPr>
        <w:pStyle w:val="Heading2"/>
        <w:spacing w:before="240" w:after="120"/>
      </w:pPr>
      <w:r>
        <w:rPr>
          <w:rFonts w:ascii="Arial" w:cs="Arial" w:eastAsia="Arial" w:hAnsi="Arial"/>
          <w:b/>
          <w:bCs/>
          <w:color w:val="2E75B6"/>
          <w:sz w:val="28"/>
          <w:szCs w:val="28"/>
        </w:rPr>
        <w:t xml:space="preserve">6.3 Budget Impact Summary</w:t>
      </w:r>
    </w:p>
    <w:p>
      <w:pPr>
        <w:spacing w:before="60" w:after="120"/>
      </w:pPr>
      <w:r>
        <w:rPr>
          <w:rFonts w:ascii="Arial" w:cs="Arial" w:eastAsia="Arial" w:hAnsi="Arial"/>
          <w:sz w:val="22"/>
          <w:szCs w:val="22"/>
        </w:rPr>
        <w:t xml:space="preserve">Based on projected uptake scenarios across a 5-year period in a hypothetical US health plan of 1 million lives, the estimated net annual budget impact of cervimab introduction ranges from $0.03 PMPM in Year 1 to $0.14 PMPM by Year 5, assuming 40% market penetration and 25% rebate. The eligible patient population is small (approximately 2.3 eligible patients per million plan members annually), limiting the aggregate budget impact while providing substantial value per treated patient.</w:t>
      </w:r>
    </w:p>
    <w:p>
      <w:r>
        <w:br w:type="page"/>
      </w:r>
    </w:p>
    <w:p>
      <w:pPr>
        <w:pStyle w:val="Heading1"/>
        <w:pBdr>
          <w:bottom w:val="single" w:color="2E75B6" w:sz="6" w:space="1"/>
        </w:pBdr>
        <w:spacing w:before="360" w:after="120"/>
      </w:pPr>
      <w:r>
        <w:rPr>
          <w:rFonts w:ascii="Arial" w:cs="Arial" w:eastAsia="Arial" w:hAnsi="Arial"/>
          <w:b/>
          <w:bCs/>
          <w:color w:val="1F4E79"/>
          <w:sz w:val="32"/>
          <w:szCs w:val="32"/>
        </w:rPr>
        <w:t xml:space="preserve">7. PROPOSED PLACE IN THERAPY</w:t>
      </w:r>
    </w:p>
    <w:p>
      <w:pPr>
        <w:pStyle w:val="Heading2"/>
        <w:spacing w:before="240" w:after="120"/>
      </w:pPr>
      <w:r>
        <w:rPr>
          <w:rFonts w:ascii="Arial" w:cs="Arial" w:eastAsia="Arial" w:hAnsi="Arial"/>
          <w:b/>
          <w:bCs/>
          <w:color w:val="2E75B6"/>
          <w:sz w:val="28"/>
          <w:szCs w:val="28"/>
        </w:rPr>
        <w:t xml:space="preserve">7.1 Target Population</w:t>
      </w:r>
    </w:p>
    <w:p>
      <w:pPr>
        <w:spacing w:before="60" w:after="120"/>
      </w:pPr>
      <w:r>
        <w:rPr>
          <w:rFonts w:ascii="Arial" w:cs="Arial" w:eastAsia="Arial" w:hAnsi="Arial"/>
          <w:sz w:val="22"/>
          <w:szCs w:val="22"/>
        </w:rPr>
        <w:t xml:space="preserve">The proposed indication for cervimab is: adult patients with dMMR/MSI-H metastatic colorectal cancer who have received at least one prior line of systemic therapy for metastatic disease. This population aligns precisely with the CERVI-301 enrollment criteria and represents the highest-value target based on the mechanistic rationale and clinical trial data.</w:t>
      </w:r>
    </w:p>
    <w:p>
      <w:pPr>
        <w:spacing w:before="0" w:after="80"/>
      </w:pPr>
    </w:p>
    <w:p>
      <w:pPr>
        <w:pStyle w:val="Heading2"/>
        <w:spacing w:before="240" w:after="120"/>
      </w:pPr>
      <w:r>
        <w:rPr>
          <w:rFonts w:ascii="Arial" w:cs="Arial" w:eastAsia="Arial" w:hAnsi="Arial"/>
          <w:b/>
          <w:bCs/>
          <w:color w:val="2E75B6"/>
          <w:sz w:val="28"/>
          <w:szCs w:val="28"/>
        </w:rPr>
        <w:t xml:space="preserve">7.2 Positioning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Prior 1L immunotherapy (pembrolizumab):</w:t>
            </w:r>
          </w:p>
        </w:tc>
        <w:tc>
          <w:tcPr>
            <w:tcW w:type="dxa" w:w="63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Cervimab is positioned as the preferred 2nd-line option post-pembrolizumab progression, with emerging preclinical data suggesting non-overlapping epitope binding may overcome resistance</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Prior 1L chemotherapy:</w:t>
            </w:r>
          </w:p>
        </w:tc>
        <w:tc>
          <w:tcPr>
            <w:tcW w:type="dxa" w:w="63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Cervimab is the preferred 2nd-line immunotherapy option; compelling data from CERVI-301 directly applicable</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3rd line and beyond:</w:t>
            </w:r>
          </w:p>
        </w:tc>
        <w:tc>
          <w:tcPr>
            <w:tcW w:type="dxa" w:w="63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Evidence supports use; however, benefit may be attenuated in heavily pretreated patients</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Lynch syndrome:</w:t>
            </w:r>
          </w:p>
        </w:tc>
        <w:tc>
          <w:tcPr>
            <w:tcW w:type="dxa" w:w="63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Represents a particularly high-value population; consider molecular tumor board referral for all patients</w:t>
            </w:r>
          </w:p>
        </w:tc>
      </w:tr>
    </w:tbl>
    <w:p>
      <w:pPr>
        <w:spacing w:before="0" w:after="80"/>
      </w:pPr>
    </w:p>
    <w:p>
      <w:pPr>
        <w:pStyle w:val="Heading2"/>
        <w:spacing w:before="240" w:after="120"/>
      </w:pPr>
      <w:r>
        <w:rPr>
          <w:rFonts w:ascii="Arial" w:cs="Arial" w:eastAsia="Arial" w:hAnsi="Arial"/>
          <w:b/>
          <w:bCs/>
          <w:color w:val="2E75B6"/>
          <w:sz w:val="28"/>
          <w:szCs w:val="28"/>
        </w:rPr>
        <w:t xml:space="preserve">7.3 Testing and Biomarker Requirements</w:t>
      </w:r>
    </w:p>
    <w:p>
      <w:pPr>
        <w:spacing w:before="60" w:after="120"/>
      </w:pPr>
      <w:r>
        <w:rPr>
          <w:rFonts w:ascii="Arial" w:cs="Arial" w:eastAsia="Arial" w:hAnsi="Arial"/>
          <w:sz w:val="22"/>
          <w:szCs w:val="22"/>
        </w:rPr>
        <w:t xml:space="preserve">Universal MMR/MSI testing by IHC and/or PCR/NGS is recommended for all patients with newly diagnosed CRC. NCCN guidelines and ASCO/CAP/AMP/ASC recommendations support reflex testing at diagnosis. Cervimab therapy should be reserved for patients with confirmed dMMR or MSI-H status. Both IHC and molecular testing are acceptable per CERVI-301 eligibility criteria; central laboratory concordance in the trial was &gt;99%.</w:t>
      </w:r>
    </w:p>
    <w:p>
      <w:r>
        <w:br w:type="page"/>
      </w:r>
    </w:p>
    <w:p>
      <w:pPr>
        <w:pStyle w:val="Heading1"/>
        <w:pBdr>
          <w:bottom w:val="single" w:color="2E75B6" w:sz="6" w:space="1"/>
        </w:pBdr>
        <w:spacing w:before="360" w:after="120"/>
      </w:pPr>
      <w:r>
        <w:rPr>
          <w:rFonts w:ascii="Arial" w:cs="Arial" w:eastAsia="Arial" w:hAnsi="Arial"/>
          <w:b/>
          <w:bCs/>
          <w:color w:val="1F4E79"/>
          <w:sz w:val="32"/>
          <w:szCs w:val="32"/>
        </w:rPr>
        <w:t xml:space="preserve">8. REGULATORY CONTEXT</w:t>
      </w:r>
    </w:p>
    <w:p>
      <w:pPr>
        <w:pStyle w:val="Heading2"/>
        <w:spacing w:before="240" w:after="120"/>
      </w:pPr>
      <w:r>
        <w:rPr>
          <w:rFonts w:ascii="Arial" w:cs="Arial" w:eastAsia="Arial" w:hAnsi="Arial"/>
          <w:b/>
          <w:bCs/>
          <w:color w:val="2E75B6"/>
          <w:sz w:val="28"/>
          <w:szCs w:val="28"/>
        </w:rPr>
        <w:t xml:space="preserve">8.1 FDA Regulatory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IND Filing:</w:t>
            </w:r>
          </w:p>
        </w:tc>
        <w:tc>
          <w:tcPr>
            <w:tcW w:type="dxa" w:w="63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IND 123456 granted (February 2019)</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Breakthrough Designation:</w:t>
            </w:r>
          </w:p>
        </w:tc>
        <w:tc>
          <w:tcPr>
            <w:tcW w:type="dxa" w:w="63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Granted by FDA (April 2020) for dMMR/MSI-H mCRC ≥2nd line</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Fast Track Designation:</w:t>
            </w:r>
          </w:p>
        </w:tc>
        <w:tc>
          <w:tcPr>
            <w:tcW w:type="dxa" w:w="63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Granted (August 2020)</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Accelerated Approval:</w:t>
            </w:r>
          </w:p>
        </w:tc>
        <w:tc>
          <w:tcPr>
            <w:tcW w:type="dxa" w:w="63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 pursued; robust PFS and OS data from Phase 3 support regular approval pathway</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BLA Filing:</w:t>
            </w:r>
          </w:p>
        </w:tc>
        <w:tc>
          <w:tcPr>
            <w:tcW w:type="dxa" w:w="63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BLA 761999 submitted to FDA (October 2025)</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PDUFA Date:</w:t>
            </w:r>
          </w:p>
        </w:tc>
        <w:tc>
          <w:tcPr>
            <w:tcW w:type="dxa" w:w="63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August 2026 (Priority Review)</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Priority Review:</w:t>
            </w:r>
          </w:p>
        </w:tc>
        <w:tc>
          <w:tcPr>
            <w:tcW w:type="dxa" w:w="63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Granted based on dMMR/MSI-H unmet need designation</w:t>
            </w:r>
          </w:p>
        </w:tc>
      </w:tr>
      <w:tr>
        <w:tc>
          <w:tcPr>
            <w:tcW w:type="dxa" w:w="300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Pre-BLA Meeting:</w:t>
            </w:r>
          </w:p>
        </w:tc>
        <w:tc>
          <w:tcPr>
            <w:tcW w:type="dxa" w:w="636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Type B meeting held (June 2025); FDA concurred with primary endpoint and analysis plan</w:t>
            </w:r>
          </w:p>
        </w:tc>
      </w:tr>
    </w:tbl>
    <w:p>
      <w:pPr>
        <w:spacing w:before="0" w:after="80"/>
      </w:pPr>
    </w:p>
    <w:p>
      <w:pPr>
        <w:pStyle w:val="Heading2"/>
        <w:spacing w:before="240" w:after="120"/>
      </w:pPr>
      <w:r>
        <w:rPr>
          <w:rFonts w:ascii="Arial" w:cs="Arial" w:eastAsia="Arial" w:hAnsi="Arial"/>
          <w:b/>
          <w:bCs/>
          <w:color w:val="2E75B6"/>
          <w:sz w:val="28"/>
          <w:szCs w:val="28"/>
        </w:rPr>
        <w:t xml:space="preserve">8.2 FDA Advisory Committee</w:t>
      </w:r>
    </w:p>
    <w:p>
      <w:pPr>
        <w:spacing w:before="60" w:after="120"/>
      </w:pPr>
      <w:r>
        <w:rPr>
          <w:rFonts w:ascii="Arial" w:cs="Arial" w:eastAsia="Arial" w:hAnsi="Arial"/>
          <w:sz w:val="22"/>
          <w:szCs w:val="22"/>
        </w:rPr>
        <w:t xml:space="preserve">An Oncologic Drugs Advisory Committee (ODAC) meeting is scheduled for May 2026. The sponsor anticipates presenting the full CERVI-301 efficacy and safety dataset, NMA results, and patient-reported outcomes. Based on the compelling survival data and favorable safety profile, the sponsor believes the clinical benefit-risk profile strongly supports a favorable ODAC vote.</w:t>
      </w:r>
    </w:p>
    <w:p>
      <w:r>
        <w:br w:type="page"/>
      </w:r>
    </w:p>
    <w:p>
      <w:pPr>
        <w:pStyle w:val="Heading1"/>
        <w:pBdr>
          <w:bottom w:val="single" w:color="2E75B6" w:sz="6" w:space="1"/>
        </w:pBdr>
        <w:spacing w:before="360" w:after="120"/>
      </w:pPr>
      <w:r>
        <w:rPr>
          <w:rFonts w:ascii="Arial" w:cs="Arial" w:eastAsia="Arial" w:hAnsi="Arial"/>
          <w:b/>
          <w:bCs/>
          <w:color w:val="1F4E79"/>
          <w:sz w:val="32"/>
          <w:szCs w:val="32"/>
        </w:rPr>
        <w:t xml:space="preserve">9. EVIDENCE GAPS AND ONGOING STUDIES</w:t>
      </w:r>
    </w:p>
    <w:p>
      <w:pPr>
        <w:spacing w:before="60" w:after="120"/>
      </w:pPr>
      <w:r>
        <w:rPr>
          <w:rFonts w:ascii="Arial" w:cs="Arial" w:eastAsia="Arial" w:hAnsi="Arial"/>
          <w:sz w:val="22"/>
          <w:szCs w:val="22"/>
        </w:rPr>
        <w:t xml:space="preserve">The sponsor acknowledges the following evidence gaps and is conducting post-marketing and supplemental studies to address them:</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Evidence Gap</w:t>
            </w:r>
          </w:p>
        </w:tc>
        <w:tc>
          <w:tcPr>
            <w:tcW w:type="dxa" w:w="3120"/>
            <w:gridSpan w:val="1"/>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Approach/Study</w:t>
            </w:r>
          </w:p>
        </w:tc>
        <w:tc>
          <w:tcPr>
            <w:tcW w:type="dxa" w:w="3120"/>
            <w:gridSpan w:val="1"/>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Expected Completion</w:t>
            </w:r>
          </w:p>
        </w:tc>
      </w:tr>
      <w:tr>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OS maturity (&lt;50% events at primary analysis)</w:t>
            </w:r>
          </w:p>
        </w:tc>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Ongoing follow-up; final OS analysis planned at ~75% event rate</w:t>
            </w:r>
          </w:p>
        </w:tc>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2027</w:t>
            </w:r>
          </w:p>
        </w:tc>
      </w:tr>
      <w:tr>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Post-pembrolizumab progression population</w:t>
            </w:r>
          </w:p>
        </w:tc>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CERVI-302 single-arm study (n=80) in confirmed post-pembro dMMR mCRC</w:t>
            </w:r>
          </w:p>
        </w:tc>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2026</w:t>
            </w:r>
          </w:p>
        </w:tc>
      </w:tr>
      <w:tr>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Pediatric data</w:t>
            </w:r>
          </w:p>
        </w:tc>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FDA-required pediatric study plan (PSP) submitted; waiver requested for &lt;2y</w:t>
            </w:r>
          </w:p>
        </w:tc>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2028</w:t>
            </w:r>
          </w:p>
        </w:tc>
      </w:tr>
      <w:tr>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Real-world effectiveness</w:t>
            </w:r>
          </w:p>
        </w:tc>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CERVI-RWE registry launched January 2026; 40 US sites</w:t>
            </w:r>
          </w:p>
        </w:tc>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Ongoing</w:t>
            </w:r>
          </w:p>
        </w:tc>
      </w:tr>
      <w:tr>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Combination therapy</w:t>
            </w:r>
          </w:p>
        </w:tc>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CERVI-201 Phase 2 (cervimab + ipilimumab) in 2L dMMR mCRC; enrolling</w:t>
            </w:r>
          </w:p>
        </w:tc>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2027</w:t>
            </w:r>
          </w:p>
        </w:tc>
      </w:tr>
      <w:tr>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Biomarkers of resistance</w:t>
            </w:r>
          </w:p>
        </w:tc>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Translational substudy within CERVI-301; ctDNA/TIL analyses ongoing</w:t>
            </w:r>
          </w:p>
        </w:tc>
        <w:tc>
          <w:tcPr>
            <w:tcW w:type="dxa" w:w="3120"/>
            <w:gridSpan w:val="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2026</w:t>
            </w:r>
          </w:p>
        </w:tc>
      </w:tr>
    </w:tbl>
    <w:p>
      <w:r>
        <w:br w:type="page"/>
      </w:r>
    </w:p>
    <w:p>
      <w:pPr>
        <w:pStyle w:val="Heading1"/>
        <w:pBdr>
          <w:bottom w:val="single" w:color="2E75B6" w:sz="6" w:space="1"/>
        </w:pBdr>
        <w:spacing w:before="360" w:after="120"/>
      </w:pPr>
      <w:r>
        <w:rPr>
          <w:rFonts w:ascii="Arial" w:cs="Arial" w:eastAsia="Arial" w:hAnsi="Arial"/>
          <w:b/>
          <w:bCs/>
          <w:color w:val="1F4E79"/>
          <w:sz w:val="32"/>
          <w:szCs w:val="32"/>
        </w:rPr>
        <w:t xml:space="preserve">10. CONCLUSIONS</w:t>
      </w:r>
    </w:p>
    <w:p>
      <w:pPr>
        <w:spacing w:before="60" w:after="120"/>
      </w:pPr>
      <w:r>
        <w:rPr>
          <w:rFonts w:ascii="Arial" w:cs="Arial" w:eastAsia="Arial" w:hAnsi="Arial"/>
          <w:sz w:val="22"/>
          <w:szCs w:val="22"/>
        </w:rPr>
        <w:t xml:space="preserve">Cervimab represents a clinically meaningful treatment option for patients with previously treated dMMR/MSI-H metastatic colorectal cancer, a population with high unmet need and historically poor outcomes on chemotherapy. The Phase 3 CERVI-301 trial demonstrated statistically significant and clinically meaningful improvements across all pre-specified endpoints including PFS, OS, ORR, and patient-reported quality of life, with a markedly improved tolerability profile versus standard chemotherapy.</w:t>
      </w:r>
    </w:p>
    <w:p>
      <w:pPr>
        <w:spacing w:before="0" w:after="80"/>
      </w:pPr>
    </w:p>
    <w:p>
      <w:pPr>
        <w:spacing w:before="60" w:after="120"/>
      </w:pPr>
      <w:r>
        <w:rPr>
          <w:rFonts w:ascii="Arial" w:cs="Arial" w:eastAsia="Arial" w:hAnsi="Arial"/>
          <w:sz w:val="22"/>
          <w:szCs w:val="22"/>
        </w:rPr>
        <w:t xml:space="preserve">The health economic analyses support a favorable value profile at a WAC of $18,500 per infusion, with a base-case ICER of approximately $142,300/QALY—within the range commonly considered cost-effective by US payers and HTA bodies for oncology indications with significant unmet need. The budget impact to health plans is modest given the small but molecularly defined eligible population.</w:t>
      </w:r>
    </w:p>
    <w:p>
      <w:pPr>
        <w:spacing w:before="0" w:after="80"/>
      </w:pPr>
    </w:p>
    <w:p>
      <w:pPr>
        <w:spacing w:before="60" w:after="120"/>
      </w:pPr>
      <w:r>
        <w:rPr>
          <w:rFonts w:ascii="Arial" w:cs="Arial" w:eastAsia="Arial" w:hAnsi="Arial"/>
          <w:sz w:val="22"/>
          <w:szCs w:val="22"/>
        </w:rPr>
        <w:t xml:space="preserve">Cervi Therapeutics is committed to ensuring broad, timely access to cervimab for eligible patients through value-based contracting arrangements, outcomes-based agreements, and comprehensive patient assistance programs. The sponsor welcomes the opportunity to discuss the evidence package in detail with ICER, payers, and other HTA stakeholders.</w:t>
      </w:r>
    </w:p>
    <w:p>
      <w:r>
        <w:br w:type="page"/>
      </w:r>
    </w:p>
    <w:p>
      <w:pPr>
        <w:pStyle w:val="Heading1"/>
        <w:pBdr>
          <w:bottom w:val="single" w:color="2E75B6" w:sz="6" w:space="1"/>
        </w:pBdr>
        <w:spacing w:before="360" w:after="120"/>
      </w:pPr>
      <w:r>
        <w:rPr>
          <w:rFonts w:ascii="Arial" w:cs="Arial" w:eastAsia="Arial" w:hAnsi="Arial"/>
          <w:b/>
          <w:bCs/>
          <w:color w:val="1F4E79"/>
          <w:sz w:val="32"/>
          <w:szCs w:val="32"/>
        </w:rPr>
        <w:t xml:space="preserve">11. REFERENCES (SELECTED)</w:t>
      </w:r>
    </w:p>
    <w:p>
      <w:pPr>
        <w:spacing w:before="60" w:after="120"/>
      </w:pPr>
      <w:r>
        <w:rPr>
          <w:rFonts w:ascii="Arial" w:cs="Arial" w:eastAsia="Arial" w:hAnsi="Arial"/>
          <w:sz w:val="22"/>
          <w:szCs w:val="22"/>
        </w:rPr>
        <w:t xml:space="preserve">1. Siegel RL, Miller KD, Wagle NS, Jemal A. Cancer statistics, 2023. CA Cancer J Clin. 2023;73(1):17-48.</w:t>
      </w:r>
    </w:p>
    <w:p>
      <w:pPr>
        <w:spacing w:before="60" w:after="120"/>
      </w:pPr>
      <w:r>
        <w:rPr>
          <w:rFonts w:ascii="Arial" w:cs="Arial" w:eastAsia="Arial" w:hAnsi="Arial"/>
          <w:sz w:val="22"/>
          <w:szCs w:val="22"/>
        </w:rPr>
        <w:t xml:space="preserve">2. Le DT, et al. Mismatch repair deficiency predicts response of solid tumors to PD-1 blockade. Science. 2017;357(6349):409-413.</w:t>
      </w:r>
    </w:p>
    <w:p>
      <w:pPr>
        <w:spacing w:before="60" w:after="120"/>
      </w:pPr>
      <w:r>
        <w:rPr>
          <w:rFonts w:ascii="Arial" w:cs="Arial" w:eastAsia="Arial" w:hAnsi="Arial"/>
          <w:sz w:val="22"/>
          <w:szCs w:val="22"/>
        </w:rPr>
        <w:t xml:space="preserve">3. André T, et al. Pembrolizumab in microsatellite-instability-high advanced colorectal cancer. N Engl J Med. 2020;383(23):2207-2218. [KEYNOTE-177]</w:t>
      </w:r>
    </w:p>
    <w:p>
      <w:pPr>
        <w:spacing w:before="60" w:after="120"/>
      </w:pPr>
      <w:r>
        <w:rPr>
          <w:rFonts w:ascii="Arial" w:cs="Arial" w:eastAsia="Arial" w:hAnsi="Arial"/>
          <w:sz w:val="22"/>
          <w:szCs w:val="22"/>
        </w:rPr>
        <w:t xml:space="preserve">4. Overman MJ, et al. Nivolumab in patients with metastatic DNA mismatch repair-deficient or microsatellite instability-high colorectal cancer (CheckMate 142). Lancet Oncol. 2017;18(9):1182-1191.</w:t>
      </w:r>
    </w:p>
    <w:p>
      <w:pPr>
        <w:spacing w:before="60" w:after="120"/>
      </w:pPr>
      <w:r>
        <w:rPr>
          <w:rFonts w:ascii="Arial" w:cs="Arial" w:eastAsia="Arial" w:hAnsi="Arial"/>
          <w:sz w:val="22"/>
          <w:szCs w:val="22"/>
        </w:rPr>
        <w:t xml:space="preserve">5. Cervi Therapeutics, Inc. CERVI-301 Clinical Study Report, Version 1.0, February 2026.</w:t>
      </w:r>
    </w:p>
    <w:p>
      <w:pPr>
        <w:spacing w:before="60" w:after="120"/>
      </w:pPr>
      <w:r>
        <w:rPr>
          <w:rFonts w:ascii="Arial" w:cs="Arial" w:eastAsia="Arial" w:hAnsi="Arial"/>
          <w:sz w:val="22"/>
          <w:szCs w:val="22"/>
        </w:rPr>
        <w:t xml:space="preserve">6. National Comprehensive Cancer Network. NCCN Clinical Practice Guidelines in Oncology: Colon Cancer, Version 2.2025.</w:t>
      </w:r>
    </w:p>
    <w:p>
      <w:pPr>
        <w:spacing w:before="60" w:after="120"/>
      </w:pPr>
      <w:r>
        <w:rPr>
          <w:rFonts w:ascii="Arial" w:cs="Arial" w:eastAsia="Arial" w:hAnsi="Arial"/>
          <w:sz w:val="22"/>
          <w:szCs w:val="22"/>
        </w:rPr>
        <w:t xml:space="preserve">7. ICER. Framework for Health Technology Assessment, Version 2.0. June 2020.</w:t>
      </w:r>
    </w:p>
    <w:p>
      <w:pPr>
        <w:spacing w:before="60" w:after="120"/>
      </w:pPr>
      <w:r>
        <w:rPr>
          <w:rFonts w:ascii="Arial" w:cs="Arial" w:eastAsia="Arial" w:hAnsi="Arial"/>
          <w:sz w:val="22"/>
          <w:szCs w:val="22"/>
        </w:rPr>
        <w:t xml:space="preserve">8. Cervi Therapeutics, Inc. Integrated Summary of Safety (ISS). BLA 761999 Submission, October 2025.</w:t>
      </w:r>
    </w:p>
    <w:p>
      <w:pPr>
        <w:spacing w:before="60" w:after="120"/>
      </w:pPr>
      <w:r>
        <w:rPr>
          <w:rFonts w:ascii="Arial" w:cs="Arial" w:eastAsia="Arial" w:hAnsi="Arial"/>
          <w:sz w:val="22"/>
          <w:szCs w:val="22"/>
        </w:rPr>
        <w:t xml:space="preserve">9. Cervi Therapeutics, Inc. Health Economics and Outcomes Research Technical Report. Version 2.1, January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777777"/>
        <w:sz w:val="16"/>
        <w:szCs w:val="16"/>
      </w:rPr>
      <w:t xml:space="preserve">Pharmalex Oncology | Cervi Therapeutics, Inc.  </w:t>
    </w:r>
    <w:fldSimple w:instr="PAGE">
      <w:r>
        <w:rPr>
          <w:rFonts w:ascii="Arial" w:cs="Arial" w:eastAsia="Arial" w:hAnsi="Arial"/>
          <w:color w:val="777777"/>
          <w:sz w:val="16"/>
          <w:szCs w:val="16"/>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555555"/>
        <w:sz w:val="18"/>
        <w:szCs w:val="18"/>
      </w:rPr>
      <w:t xml:space="preserve">CERVIMAB (cemiplimab-[cer]) | HTA Dossier | dMMR/MSI-H mCRC | Phase 3  </w:t>
    </w:r>
    <w:r>
      <w:rPr>
        <w:rFonts w:ascii="Arial" w:cs="Arial" w:eastAsia="Arial" w:hAnsi="Arial"/>
        <w:b/>
        <w:bCs/>
        <w:color w:val="C00000"/>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180" w:after="80"/>
      <w:outlineLvl w:val="2"/>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2026-03-16T14:48:05.123Z</dcterms:created>
  <dcterms:modified xsi:type="dcterms:W3CDTF">2026-03-16T14:48:05.124Z</dcterms:modified>
</cp:coreProperties>
</file>

<file path=docProps/custom.xml><?xml version="1.0" encoding="utf-8"?>
<Properties xmlns="http://schemas.openxmlformats.org/officeDocument/2006/custom-properties" xmlns:vt="http://schemas.openxmlformats.org/officeDocument/2006/docPropsVTypes"/>
</file>