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aps/>
          <w:color w:val="1F3864"/>
          <w:sz w:val="28"/>
          <w:szCs w:val="28"/>
        </w:rPr>
        <w:t xml:space="preserve">POST-MARKETING COMMITMENT / POST-MARKETING REQUIREMENT</w:t>
      </w:r>
    </w:p>
    <w:p>
      <w:pPr>
        <w:spacing w:after="80"/>
        <w:jc w:val="center"/>
      </w:pPr>
      <w:r>
        <w:rPr>
          <w:rFonts w:ascii="Arial" w:cs="Arial" w:eastAsia="Arial" w:hAnsi="Arial"/>
          <w:b/>
          <w:bCs/>
          <w:color w:val="1F3864"/>
          <w:sz w:val="44"/>
          <w:szCs w:val="44"/>
        </w:rPr>
        <w:t xml:space="preserve">STUDY PROTOCOL</w:t>
      </w:r>
    </w:p>
    <w:p>
      <w:pPr>
        <w:spacing w:after="80"/>
        <w:jc w:val="center"/>
      </w:pPr>
      <w:r>
        <w:rPr>
          <w:rFonts w:ascii="Arial" w:cs="Arial" w:eastAsia="Arial" w:hAnsi="Arial"/>
          <w:b/>
          <w:bCs/>
          <w:color w:val="2E5FA3"/>
          <w:sz w:val="32"/>
          <w:szCs w:val="32"/>
        </w:rPr>
        <w:t xml:space="preserve">CERVIMAB (cerviximab-pgrc)</w:t>
      </w:r>
    </w:p>
    <w:p>
      <w:pPr>
        <w:spacing w:after="80"/>
        <w:jc w:val="center"/>
      </w:pPr>
      <w:r>
        <w:rPr>
          <w:rFonts w:ascii="Arial" w:cs="Arial" w:eastAsia="Arial" w:hAnsi="Arial"/>
          <w:i/>
          <w:iCs/>
          <w:color w:val="444444"/>
          <w:sz w:val="22"/>
          <w:szCs w:val="22"/>
        </w:rPr>
        <w:t xml:space="preserve">A Humanized IgG4 Anti-PD-1 Monoclonal Antibody</w:t>
      </w:r>
    </w:p>
    <w:p>
      <w:pPr>
        <w:spacing w:after="240"/>
        <w:jc w:val="center"/>
      </w:pPr>
      <w:r>
        <w:rPr>
          <w:rFonts w:ascii="Arial" w:cs="Arial" w:eastAsia="Arial" w:hAnsi="Arial"/>
          <w:b/>
          <w:bCs/>
          <w:sz w:val="22"/>
          <w:szCs w:val="22"/>
        </w:rPr>
        <w:t xml:space="preserve">Study Title:</w:t>
      </w:r>
      <w:r>
        <w:rPr>
          <w:rFonts w:ascii="Arial" w:cs="Arial" w:eastAsia="Arial" w:hAnsi="Arial"/>
          <w:i/>
          <w:iCs/>
          <w:sz w:val="22"/>
          <w:szCs w:val="22"/>
        </w:rPr>
        <w:t xml:space="preserve"> A Phase IV, Open-Label, Multicenter, Post-Marketing Study to Evaluate Real-World Outcomes, Biomarker Correlates, and Long-Term Safety of Cervimab in Patients with dMMR/MSI-H Metastatic Colorectal Cancer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Protocol 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CERV-PMC-001 / PMR-4231-001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NDA/BLA 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 761XXX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PMC/PMR Reference: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PMC-4231 (Confirmatory Efficacy); PMR-4232 (Safety)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Sponsor: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NovImmune Therapeutics, Inc.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Sponsor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Innovation Drive, Cambridge, MA 02139</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IV (Post-Marketing)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CFR 314.81(b)(2)(vii); FDAAA Section 505(o)(3)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Protocol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 Initial Release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be inserted upon FDA agreement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IND 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 12XXX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EudraCT 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be assigned (EU sites)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Confidentiality: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Sponsor Confidential — Do Not Distribute</w:t>
            </w:r>
          </w:p>
        </w:tc>
      </w:tr>
    </w:tbl>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1. BACKGROUND AND RATIONALE</w:t>
      </w:r>
    </w:p>
    <w:p>
      <w:pPr>
        <w:pStyle w:val="Heading2"/>
        <w:spacing w:before="240" w:after="120"/>
      </w:pPr>
      <w:r>
        <w:rPr>
          <w:rFonts w:ascii="Arial" w:cs="Arial" w:eastAsia="Arial" w:hAnsi="Arial"/>
          <w:b/>
          <w:bCs/>
          <w:color w:val="2E5FA3"/>
          <w:sz w:val="24"/>
          <w:szCs w:val="24"/>
        </w:rPr>
        <w:t xml:space="preserve">1.1 Disease Overview</w:t>
      </w:r>
    </w:p>
    <w:p>
      <w:pPr>
        <w:spacing w:after="120"/>
      </w:pPr>
      <w:r>
        <w:rPr>
          <w:rFonts w:ascii="Arial" w:cs="Arial" w:eastAsia="Arial" w:hAnsi="Arial"/>
          <w:sz w:val="20"/>
          <w:szCs w:val="20"/>
        </w:rPr>
        <w:t xml:space="preserve">Colorectal cancer (CRC) is the third most common cancer and second leading cause of cancer-related mortality in the United States, with approximately 153,000 new cases and 53,000 deaths annually. A clinically and molecularly distinct subpopulation — those with deficient mismatch repair (dMMR) or high microsatellite instability (MSI-H) — constitutes approximately 4-5% of metastatic CRC cases and exhibits distinct immunogenic characteristics rendering it susceptible to immune checkpoint blockade.</w:t>
      </w:r>
    </w:p>
    <w:p>
      <w:pPr>
        <w:pStyle w:val="Heading2"/>
        <w:spacing w:before="240" w:after="120"/>
      </w:pPr>
      <w:r>
        <w:rPr>
          <w:rFonts w:ascii="Arial" w:cs="Arial" w:eastAsia="Arial" w:hAnsi="Arial"/>
          <w:b/>
          <w:bCs/>
          <w:color w:val="2E5FA3"/>
          <w:sz w:val="24"/>
          <w:szCs w:val="24"/>
        </w:rPr>
        <w:t xml:space="preserve">1.2 Cervimab and Approved Indication</w:t>
      </w:r>
    </w:p>
    <w:p>
      <w:pPr>
        <w:spacing w:after="120"/>
      </w:pPr>
      <w:r>
        <w:rPr>
          <w:rFonts w:ascii="Arial" w:cs="Arial" w:eastAsia="Arial" w:hAnsi="Arial"/>
          <w:sz w:val="20"/>
          <w:szCs w:val="20"/>
        </w:rPr>
        <w:t xml:space="preserve">Cervimab (cerviximab-pgrc) is a humanized IgG4 monoclonal antibody targeting the Programmed Death-1 (PD-1) receptor. On [APPROVAL DATE], the U.S. FDA granted regular approval for cervimab for the first-line treatment of adult patients with unresectable or metastatic dMMR/MSI-H CRC, based on the CERV-301 pivotal trial demonstrating a statistically significant and clinically meaningful improvement in progression-free survival (PFS) (HR = 0.42; 95% CI: 0.31–0.57; p&lt;0.0001) and overall survival (OS) (HR = 0.61; 95% CI: 0.46–0.81; p=0.0006) versus FOLFOX4.</w:t>
      </w:r>
    </w:p>
    <w:p>
      <w:pPr>
        <w:pStyle w:val="Heading2"/>
        <w:spacing w:before="240" w:after="120"/>
      </w:pPr>
      <w:r>
        <w:rPr>
          <w:rFonts w:ascii="Arial" w:cs="Arial" w:eastAsia="Arial" w:hAnsi="Arial"/>
          <w:b/>
          <w:bCs/>
          <w:color w:val="2E5FA3"/>
          <w:sz w:val="24"/>
          <w:szCs w:val="24"/>
        </w:rPr>
        <w:t xml:space="preserve">1.3 Basis for PMC/PMR</w:t>
      </w:r>
    </w:p>
    <w:p>
      <w:pPr>
        <w:spacing w:after="120"/>
      </w:pPr>
      <w:r>
        <w:rPr>
          <w:rFonts w:ascii="Arial" w:cs="Arial" w:eastAsia="Arial" w:hAnsi="Arial"/>
          <w:sz w:val="20"/>
          <w:szCs w:val="20"/>
        </w:rPr>
        <w:t xml:space="preserve">As a condition of approval, FDA required the following post-marketing studies under 21 CFR 505(o)(3) and FDA's PMC/PMR tracking:</w:t>
      </w:r>
    </w:p>
    <w:p>
      <w:pPr>
        <w:pStyle w:val="ListParagraph"/>
        <w:numPr>
          <w:ilvl w:val="0"/>
          <w:numId w:val="2"/>
        </w:numPr>
        <w:spacing w:after="80"/>
      </w:pPr>
      <w:r>
        <w:rPr>
          <w:rFonts w:ascii="Arial" w:cs="Arial" w:eastAsia="Arial" w:hAnsi="Arial"/>
          <w:sz w:val="20"/>
          <w:szCs w:val="20"/>
        </w:rPr>
        <w:t xml:space="preserve">PMC-4231 (Confirmatory Efficacy): Evaluate real-world effectiveness, including overall survival and time-to-next-treatment, in an unselected metastatic CRC population treated with cervimab in routine clinical practice.</w:t>
      </w:r>
    </w:p>
    <w:p>
      <w:pPr>
        <w:pStyle w:val="ListParagraph"/>
        <w:numPr>
          <w:ilvl w:val="0"/>
          <w:numId w:val="2"/>
        </w:numPr>
        <w:spacing w:after="80"/>
      </w:pPr>
      <w:r>
        <w:rPr>
          <w:rFonts w:ascii="Arial" w:cs="Arial" w:eastAsia="Arial" w:hAnsi="Arial"/>
          <w:sz w:val="20"/>
          <w:szCs w:val="20"/>
        </w:rPr>
        <w:t xml:space="preserve">PMR-4232 (Mandatory Safety): Characterize the incidence, severity, time-to-onset, and outcomes of rare but serious immune-related adverse events (irAEs), including Grade 3/4 colitis, pneumonitis, hepatitis, and endocrinopathies, in a larger, more diverse population than the pivotal trial.</w:t>
      </w:r>
    </w:p>
    <w:p>
      <w:pPr>
        <w:pStyle w:val="ListParagraph"/>
        <w:numPr>
          <w:ilvl w:val="0"/>
          <w:numId w:val="2"/>
        </w:numPr>
        <w:spacing w:after="80"/>
      </w:pPr>
      <w:r>
        <w:rPr>
          <w:rFonts w:ascii="Arial" w:cs="Arial" w:eastAsia="Arial" w:hAnsi="Arial"/>
          <w:sz w:val="20"/>
          <w:szCs w:val="20"/>
        </w:rPr>
        <w:t xml:space="preserve">PMR-4233 (Biomarker): Prospectively validate the predictive utility of PD-L1 combined positive score (CPS), tumor mutational burden (TMB-H), and circulating tumor DNA (ctDNA) dynamics as biomarkers of response and survival.</w:t>
      </w:r>
    </w:p>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2. STUDY OBJECTIVES AND ENDPOINTS</w:t>
      </w:r>
    </w:p>
    <w:p>
      <w:pPr>
        <w:pStyle w:val="Heading2"/>
        <w:spacing w:before="240" w:after="120"/>
      </w:pPr>
      <w:r>
        <w:rPr>
          <w:rFonts w:ascii="Arial" w:cs="Arial" w:eastAsia="Arial" w:hAnsi="Arial"/>
          <w:b/>
          <w:bCs/>
          <w:color w:val="2E5FA3"/>
          <w:sz w:val="24"/>
          <w:szCs w:val="24"/>
        </w:rPr>
        <w:t xml:space="preserve">2.1 Primary Objectives</w:t>
      </w:r>
    </w:p>
    <w:p>
      <w:pPr>
        <w:pStyle w:val="ListParagraph"/>
        <w:numPr>
          <w:ilvl w:val="0"/>
          <w:numId w:val="2"/>
        </w:numPr>
        <w:spacing w:after="80"/>
      </w:pPr>
      <w:r>
        <w:rPr>
          <w:rFonts w:ascii="Arial" w:cs="Arial" w:eastAsia="Arial" w:hAnsi="Arial"/>
          <w:sz w:val="20"/>
          <w:szCs w:val="20"/>
        </w:rPr>
        <w:t xml:space="preserve">To estimate overall survival (OS) in patients with dMMR/MSI-H mCRC receiving cervimab as first-line therapy in routine clinical practice.</w:t>
      </w:r>
    </w:p>
    <w:p>
      <w:pPr>
        <w:pStyle w:val="ListParagraph"/>
        <w:numPr>
          <w:ilvl w:val="0"/>
          <w:numId w:val="2"/>
        </w:numPr>
        <w:spacing w:after="80"/>
      </w:pPr>
      <w:r>
        <w:rPr>
          <w:rFonts w:ascii="Arial" w:cs="Arial" w:eastAsia="Arial" w:hAnsi="Arial"/>
          <w:sz w:val="20"/>
          <w:szCs w:val="20"/>
        </w:rPr>
        <w:t xml:space="preserve">To characterize the incidence and severity profile of serious immune-related adverse events (irAEs) (PMR-4232).</w:t>
      </w:r>
    </w:p>
    <w:p>
      <w:pPr>
        <w:pStyle w:val="Heading2"/>
        <w:spacing w:before="240" w:after="120"/>
      </w:pPr>
      <w:r>
        <w:rPr>
          <w:rFonts w:ascii="Arial" w:cs="Arial" w:eastAsia="Arial" w:hAnsi="Arial"/>
          <w:b/>
          <w:bCs/>
          <w:color w:val="2E5FA3"/>
          <w:sz w:val="24"/>
          <w:szCs w:val="24"/>
        </w:rPr>
        <w:t xml:space="preserve">2.2 Secondary Objectives</w:t>
      </w:r>
    </w:p>
    <w:p>
      <w:pPr>
        <w:pStyle w:val="ListParagraph"/>
        <w:numPr>
          <w:ilvl w:val="0"/>
          <w:numId w:val="2"/>
        </w:numPr>
        <w:spacing w:after="80"/>
      </w:pPr>
      <w:r>
        <w:rPr>
          <w:rFonts w:ascii="Arial" w:cs="Arial" w:eastAsia="Arial" w:hAnsi="Arial"/>
          <w:sz w:val="20"/>
          <w:szCs w:val="20"/>
        </w:rPr>
        <w:t xml:space="preserve">Progression-free survival (PFS) per investigator assessment using RECIST v1.1</w:t>
      </w:r>
    </w:p>
    <w:p>
      <w:pPr>
        <w:pStyle w:val="ListParagraph"/>
        <w:numPr>
          <w:ilvl w:val="0"/>
          <w:numId w:val="2"/>
        </w:numPr>
        <w:spacing w:after="80"/>
      </w:pPr>
      <w:r>
        <w:rPr>
          <w:rFonts w:ascii="Arial" w:cs="Arial" w:eastAsia="Arial" w:hAnsi="Arial"/>
          <w:sz w:val="20"/>
          <w:szCs w:val="20"/>
        </w:rPr>
        <w:t xml:space="preserve">Objective response rate (ORR) and duration of response (DoR)</w:t>
      </w:r>
    </w:p>
    <w:p>
      <w:pPr>
        <w:pStyle w:val="ListParagraph"/>
        <w:numPr>
          <w:ilvl w:val="0"/>
          <w:numId w:val="2"/>
        </w:numPr>
        <w:spacing w:after="80"/>
      </w:pPr>
      <w:r>
        <w:rPr>
          <w:rFonts w:ascii="Arial" w:cs="Arial" w:eastAsia="Arial" w:hAnsi="Arial"/>
          <w:sz w:val="20"/>
          <w:szCs w:val="20"/>
        </w:rPr>
        <w:t xml:space="preserve">Time to next treatment (TTNT)</w:t>
      </w:r>
    </w:p>
    <w:p>
      <w:pPr>
        <w:pStyle w:val="ListParagraph"/>
        <w:numPr>
          <w:ilvl w:val="0"/>
          <w:numId w:val="2"/>
        </w:numPr>
        <w:spacing w:after="80"/>
      </w:pPr>
      <w:r>
        <w:rPr>
          <w:rFonts w:ascii="Arial" w:cs="Arial" w:eastAsia="Arial" w:hAnsi="Arial"/>
          <w:sz w:val="20"/>
          <w:szCs w:val="20"/>
        </w:rPr>
        <w:t xml:space="preserve">Health-related quality of life (HRQoL) via FACT-C and EQ-5D-5L</w:t>
      </w:r>
    </w:p>
    <w:p>
      <w:pPr>
        <w:pStyle w:val="ListParagraph"/>
        <w:numPr>
          <w:ilvl w:val="0"/>
          <w:numId w:val="2"/>
        </w:numPr>
        <w:spacing w:after="80"/>
      </w:pPr>
      <w:r>
        <w:rPr>
          <w:rFonts w:ascii="Arial" w:cs="Arial" w:eastAsia="Arial" w:hAnsi="Arial"/>
          <w:sz w:val="20"/>
          <w:szCs w:val="20"/>
        </w:rPr>
        <w:t xml:space="preserve">Characterization of irAE management strategies and corticosteroid use</w:t>
      </w:r>
    </w:p>
    <w:p>
      <w:pPr>
        <w:pStyle w:val="ListParagraph"/>
        <w:numPr>
          <w:ilvl w:val="0"/>
          <w:numId w:val="2"/>
        </w:numPr>
        <w:spacing w:after="80"/>
      </w:pPr>
      <w:r>
        <w:rPr>
          <w:rFonts w:ascii="Arial" w:cs="Arial" w:eastAsia="Arial" w:hAnsi="Arial"/>
          <w:sz w:val="20"/>
          <w:szCs w:val="20"/>
        </w:rPr>
        <w:t xml:space="preserve">Patient-reported outcomes related to treatment tolerability</w:t>
      </w:r>
    </w:p>
    <w:p>
      <w:pPr>
        <w:pStyle w:val="Heading2"/>
        <w:spacing w:before="240" w:after="120"/>
      </w:pPr>
      <w:r>
        <w:rPr>
          <w:rFonts w:ascii="Arial" w:cs="Arial" w:eastAsia="Arial" w:hAnsi="Arial"/>
          <w:b/>
          <w:bCs/>
          <w:color w:val="2E5FA3"/>
          <w:sz w:val="24"/>
          <w:szCs w:val="24"/>
        </w:rPr>
        <w:t xml:space="preserve">2.3 Exploratory Objectives</w:t>
      </w:r>
    </w:p>
    <w:p>
      <w:pPr>
        <w:pStyle w:val="ListParagraph"/>
        <w:numPr>
          <w:ilvl w:val="0"/>
          <w:numId w:val="2"/>
        </w:numPr>
        <w:spacing w:after="80"/>
      </w:pPr>
      <w:r>
        <w:rPr>
          <w:rFonts w:ascii="Arial" w:cs="Arial" w:eastAsia="Arial" w:hAnsi="Arial"/>
          <w:sz w:val="20"/>
          <w:szCs w:val="20"/>
        </w:rPr>
        <w:t xml:space="preserve">Correlation of PD-L1 CPS, TMB-H, and ctDNA kinetics with clinical outcomes (PMR-4233)</w:t>
      </w:r>
    </w:p>
    <w:p>
      <w:pPr>
        <w:pStyle w:val="ListParagraph"/>
        <w:numPr>
          <w:ilvl w:val="0"/>
          <w:numId w:val="2"/>
        </w:numPr>
        <w:spacing w:after="80"/>
      </w:pPr>
      <w:r>
        <w:rPr>
          <w:rFonts w:ascii="Arial" w:cs="Arial" w:eastAsia="Arial" w:hAnsi="Arial"/>
          <w:sz w:val="20"/>
          <w:szCs w:val="20"/>
        </w:rPr>
        <w:t xml:space="preserve">Evaluation of outcomes in subgroups: BRAF V600E, Lynch syndrome, RAS mutation status</w:t>
      </w:r>
    </w:p>
    <w:p>
      <w:pPr>
        <w:pStyle w:val="ListParagraph"/>
        <w:numPr>
          <w:ilvl w:val="0"/>
          <w:numId w:val="2"/>
        </w:numPr>
        <w:spacing w:after="80"/>
      </w:pPr>
      <w:r>
        <w:rPr>
          <w:rFonts w:ascii="Arial" w:cs="Arial" w:eastAsia="Arial" w:hAnsi="Arial"/>
          <w:sz w:val="20"/>
          <w:szCs w:val="20"/>
        </w:rPr>
        <w:t xml:space="preserve">Assessment of secondary resistance mechanisms via exploratory tumor genomic profiling</w:t>
      </w:r>
    </w:p>
    <w:p>
      <w:pPr>
        <w:pStyle w:val="Heading2"/>
        <w:spacing w:before="240" w:after="120"/>
      </w:pPr>
      <w:r>
        <w:rPr>
          <w:rFonts w:ascii="Arial" w:cs="Arial" w:eastAsia="Arial" w:hAnsi="Arial"/>
          <w:b/>
          <w:bCs/>
          <w:color w:val="2E5FA3"/>
          <w:sz w:val="24"/>
          <w:szCs w:val="24"/>
        </w:rPr>
        <w:t xml:space="preserve">2.4 Primary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PMC/PMR</w:t>
            </w:r>
          </w:p>
        </w:tc>
        <w:tc>
          <w:tcPr>
            <w:tcW w:type="dxa" w:w="378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Primary Endpoint</w:t>
            </w:r>
          </w:p>
        </w:tc>
        <w:tc>
          <w:tcPr>
            <w:tcW w:type="dxa" w:w="378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PMC-4231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Overall Survival (OS)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from cervimab initiation to death from any cause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PMR-4232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Serious irAE Incidence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Proportion with Grade 3-5 irAE per NCI CTCAE v5.0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PMR-4233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Biomarker-PFS Correlation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PFS by PD-L1 CPS tertile; ctDNA clearance rate at Week 9</w:t>
            </w:r>
          </w:p>
        </w:tc>
      </w:tr>
    </w:tbl>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3. STUDY DESIGN</w:t>
      </w:r>
    </w:p>
    <w:p>
      <w:pPr>
        <w:pStyle w:val="Heading2"/>
        <w:spacing w:before="240" w:after="120"/>
      </w:pPr>
      <w:r>
        <w:rPr>
          <w:rFonts w:ascii="Arial" w:cs="Arial" w:eastAsia="Arial" w:hAnsi="Arial"/>
          <w:b/>
          <w:bCs/>
          <w:color w:val="2E5FA3"/>
          <w:sz w:val="24"/>
          <w:szCs w:val="24"/>
        </w:rPr>
        <w:t xml:space="preserve">3.1 Overview</w:t>
      </w:r>
    </w:p>
    <w:p>
      <w:pPr>
        <w:spacing w:after="120"/>
      </w:pPr>
      <w:r>
        <w:rPr>
          <w:rFonts w:ascii="Arial" w:cs="Arial" w:eastAsia="Arial" w:hAnsi="Arial"/>
          <w:sz w:val="20"/>
          <w:szCs w:val="20"/>
        </w:rPr>
        <w:t xml:space="preserve">This is a Phase IV, open-label, multicenter, prospective observational cohort study conducted at approximately 80-100 oncology centers in the United States (primary) and select international sites (EU, Canada). The study will enroll patients newly initiating cervimab for the approved indication and will follow them longitudinally for a minimum of 5 years from the date of last enrollment.</w:t>
      </w:r>
    </w:p>
    <w:p>
      <w:pPr>
        <w:pStyle w:val="Heading2"/>
        <w:spacing w:before="240" w:after="120"/>
      </w:pPr>
      <w:r>
        <w:rPr>
          <w:rFonts w:ascii="Arial" w:cs="Arial" w:eastAsia="Arial" w:hAnsi="Arial"/>
          <w:b/>
          <w:bCs/>
          <w:color w:val="2E5FA3"/>
          <w:sz w:val="24"/>
          <w:szCs w:val="24"/>
        </w:rPr>
        <w:t xml:space="preserve">3.2 Cohort Design</w:t>
      </w:r>
    </w:p>
    <w:p>
      <w:pPr>
        <w:spacing w:after="120"/>
      </w:pPr>
      <w:r>
        <w:rPr>
          <w:rFonts w:ascii="Arial" w:cs="Arial" w:eastAsia="Arial" w:hAnsi="Arial"/>
          <w:sz w:val="20"/>
          <w:szCs w:val="20"/>
        </w:rPr>
        <w:t xml:space="preserve">Two cohorts will be enrolled:</w:t>
      </w:r>
    </w:p>
    <w:p>
      <w:pPr>
        <w:pStyle w:val="ListParagraph"/>
        <w:numPr>
          <w:ilvl w:val="0"/>
          <w:numId w:val="2"/>
        </w:numPr>
        <w:spacing w:after="80"/>
      </w:pPr>
      <w:r>
        <w:rPr>
          <w:rFonts w:ascii="Arial" w:cs="Arial" w:eastAsia="Arial" w:hAnsi="Arial"/>
          <w:sz w:val="20"/>
          <w:szCs w:val="20"/>
        </w:rPr>
        <w:t xml:space="preserve">Cohort A (Prospective): Patients initiating cervimab at the time of or following protocol activation. Full prospective data collection per protocol schedule.</w:t>
      </w:r>
    </w:p>
    <w:p>
      <w:pPr>
        <w:pStyle w:val="ListParagraph"/>
        <w:numPr>
          <w:ilvl w:val="0"/>
          <w:numId w:val="2"/>
        </w:numPr>
        <w:spacing w:after="80"/>
      </w:pPr>
      <w:r>
        <w:rPr>
          <w:rFonts w:ascii="Arial" w:cs="Arial" w:eastAsia="Arial" w:hAnsi="Arial"/>
          <w:sz w:val="20"/>
          <w:szCs w:val="20"/>
        </w:rPr>
        <w:t xml:space="preserve">Cohort B (Retrospective-Prospective): Patients who initiated cervimab within 12 months prior to site activation, for whom adequate medical records are available. Retrospective baseline and early follow-up data will be supplemented by prospective follow-up.</w:t>
      </w:r>
    </w:p>
    <w:p>
      <w:pPr>
        <w:pStyle w:val="Heading2"/>
        <w:spacing w:before="240" w:after="120"/>
      </w:pPr>
      <w:r>
        <w:rPr>
          <w:rFonts w:ascii="Arial" w:cs="Arial" w:eastAsia="Arial" w:hAnsi="Arial"/>
          <w:b/>
          <w:bCs/>
          <w:color w:val="2E5FA3"/>
          <w:sz w:val="24"/>
          <w:szCs w:val="24"/>
        </w:rPr>
        <w:t xml:space="preserve">3.3 Sample Size</w:t>
      </w:r>
    </w:p>
    <w:p>
      <w:pPr>
        <w:spacing w:after="120"/>
      </w:pPr>
      <w:r>
        <w:rPr>
          <w:rFonts w:ascii="Arial" w:cs="Arial" w:eastAsia="Arial" w:hAnsi="Arial"/>
          <w:sz w:val="20"/>
          <w:szCs w:val="20"/>
        </w:rPr>
        <w:t xml:space="preserve">A total of 1,500 evaluable patients are planned (Cohort A: n=1,200; Cohort B: n=300). This sample size provides &gt;90% power to estimate 36-month OS with a margin of error of ±3% (assuming ~45% 36-month OS) and to detect a serious irAE rate of 8% with a 95% CI half-width of ±1.5%.</w:t>
      </w:r>
    </w:p>
    <w:p>
      <w:pPr>
        <w:pStyle w:val="Heading2"/>
        <w:spacing w:before="240" w:after="120"/>
      </w:pPr>
      <w:r>
        <w:rPr>
          <w:rFonts w:ascii="Arial" w:cs="Arial" w:eastAsia="Arial" w:hAnsi="Arial"/>
          <w:b/>
          <w:bCs/>
          <w:color w:val="2E5FA3"/>
          <w:sz w:val="24"/>
          <w:szCs w:val="24"/>
        </w:rPr>
        <w:t xml:space="preserve">3.4 Duration</w:t>
      </w:r>
    </w:p>
    <w:p>
      <w:pPr>
        <w:pStyle w:val="ListParagraph"/>
        <w:numPr>
          <w:ilvl w:val="0"/>
          <w:numId w:val="2"/>
        </w:numPr>
        <w:spacing w:after="80"/>
      </w:pPr>
      <w:r>
        <w:rPr>
          <w:rFonts w:ascii="Arial" w:cs="Arial" w:eastAsia="Arial" w:hAnsi="Arial"/>
          <w:sz w:val="20"/>
          <w:szCs w:val="20"/>
        </w:rPr>
        <w:t xml:space="preserve">Enrollment Period: 36 months from study activation</w:t>
      </w:r>
    </w:p>
    <w:p>
      <w:pPr>
        <w:pStyle w:val="ListParagraph"/>
        <w:numPr>
          <w:ilvl w:val="0"/>
          <w:numId w:val="2"/>
        </w:numPr>
        <w:spacing w:after="80"/>
      </w:pPr>
      <w:r>
        <w:rPr>
          <w:rFonts w:ascii="Arial" w:cs="Arial" w:eastAsia="Arial" w:hAnsi="Arial"/>
          <w:sz w:val="20"/>
          <w:szCs w:val="20"/>
        </w:rPr>
        <w:t xml:space="preserve">Follow-Up Period: Minimum 5 years from last patient enrolled</w:t>
      </w:r>
    </w:p>
    <w:p>
      <w:pPr>
        <w:pStyle w:val="ListParagraph"/>
        <w:numPr>
          <w:ilvl w:val="0"/>
          <w:numId w:val="2"/>
        </w:numPr>
        <w:spacing w:after="80"/>
      </w:pPr>
      <w:r>
        <w:rPr>
          <w:rFonts w:ascii="Arial" w:cs="Arial" w:eastAsia="Arial" w:hAnsi="Arial"/>
          <w:sz w:val="20"/>
          <w:szCs w:val="20"/>
        </w:rPr>
        <w:t xml:space="preserve">Total Study Duration: Approximately 8 years</w:t>
      </w:r>
    </w:p>
    <w:p>
      <w:pPr>
        <w:pStyle w:val="ListParagraph"/>
        <w:numPr>
          <w:ilvl w:val="0"/>
          <w:numId w:val="2"/>
        </w:numPr>
        <w:spacing w:after="80"/>
      </w:pPr>
      <w:r>
        <w:rPr>
          <w:rFonts w:ascii="Arial" w:cs="Arial" w:eastAsia="Arial" w:hAnsi="Arial"/>
          <w:sz w:val="20"/>
          <w:szCs w:val="20"/>
        </w:rPr>
        <w:t xml:space="preserve">Final PMR/PMC Report Due: [DATE per FDA agreement]</w:t>
      </w:r>
    </w:p>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4. ELIGIBILITY CRITERIA</w:t>
      </w:r>
    </w:p>
    <w:p>
      <w:pPr>
        <w:pStyle w:val="Heading2"/>
        <w:spacing w:before="240" w:after="120"/>
      </w:pPr>
      <w:r>
        <w:rPr>
          <w:rFonts w:ascii="Arial" w:cs="Arial" w:eastAsia="Arial" w:hAnsi="Arial"/>
          <w:b/>
          <w:bCs/>
          <w:color w:val="2E5FA3"/>
          <w:sz w:val="24"/>
          <w:szCs w:val="24"/>
        </w:rPr>
        <w:t xml:space="preserve">4.1 Inclusion Criteria</w:t>
      </w:r>
    </w:p>
    <w:p>
      <w:pPr>
        <w:pStyle w:val="ListParagraph"/>
        <w:numPr>
          <w:ilvl w:val="0"/>
          <w:numId w:val="2"/>
        </w:numPr>
        <w:spacing w:after="80"/>
      </w:pPr>
      <w:r>
        <w:rPr>
          <w:rFonts w:ascii="Arial" w:cs="Arial" w:eastAsia="Arial" w:hAnsi="Arial"/>
          <w:sz w:val="20"/>
          <w:szCs w:val="20"/>
        </w:rPr>
        <w:t xml:space="preserve">Histologically or cytologically confirmed unresectable or metastatic CRC</w:t>
      </w:r>
    </w:p>
    <w:p>
      <w:pPr>
        <w:pStyle w:val="ListParagraph"/>
        <w:numPr>
          <w:ilvl w:val="0"/>
          <w:numId w:val="2"/>
        </w:numPr>
        <w:spacing w:after="80"/>
      </w:pPr>
      <w:r>
        <w:rPr>
          <w:rFonts w:ascii="Arial" w:cs="Arial" w:eastAsia="Arial" w:hAnsi="Arial"/>
          <w:sz w:val="20"/>
          <w:szCs w:val="20"/>
        </w:rPr>
        <w:t xml:space="preserve">dMMR confirmed by IHC and/or MSI-H confirmed by PCR, NGS, or equivalent validated assay</w:t>
      </w:r>
    </w:p>
    <w:p>
      <w:pPr>
        <w:pStyle w:val="ListParagraph"/>
        <w:numPr>
          <w:ilvl w:val="0"/>
          <w:numId w:val="2"/>
        </w:numPr>
        <w:spacing w:after="80"/>
      </w:pPr>
      <w:r>
        <w:rPr>
          <w:rFonts w:ascii="Arial" w:cs="Arial" w:eastAsia="Arial" w:hAnsi="Arial"/>
          <w:sz w:val="20"/>
          <w:szCs w:val="20"/>
        </w:rPr>
        <w:t xml:space="preserve">Initiating or recently initiated (Cohort B) cervimab as first-line systemic therapy per approved labeling</w:t>
      </w:r>
    </w:p>
    <w:p>
      <w:pPr>
        <w:pStyle w:val="ListParagraph"/>
        <w:numPr>
          <w:ilvl w:val="0"/>
          <w:numId w:val="2"/>
        </w:numPr>
        <w:spacing w:after="80"/>
      </w:pPr>
      <w:r>
        <w:rPr>
          <w:rFonts w:ascii="Arial" w:cs="Arial" w:eastAsia="Arial" w:hAnsi="Arial"/>
          <w:sz w:val="20"/>
          <w:szCs w:val="20"/>
        </w:rPr>
        <w:t xml:space="preserve">Age ≥ 18 years</w:t>
      </w:r>
    </w:p>
    <w:p>
      <w:pPr>
        <w:pStyle w:val="ListParagraph"/>
        <w:numPr>
          <w:ilvl w:val="0"/>
          <w:numId w:val="2"/>
        </w:numPr>
        <w:spacing w:after="80"/>
      </w:pPr>
      <w:r>
        <w:rPr>
          <w:rFonts w:ascii="Arial" w:cs="Arial" w:eastAsia="Arial" w:hAnsi="Arial"/>
          <w:sz w:val="20"/>
          <w:szCs w:val="20"/>
        </w:rPr>
        <w:t xml:space="preserve">Signed informed consent (or waiver per applicable IRB authorization)</w:t>
      </w:r>
    </w:p>
    <w:p>
      <w:pPr>
        <w:pStyle w:val="ListParagraph"/>
        <w:numPr>
          <w:ilvl w:val="0"/>
          <w:numId w:val="2"/>
        </w:numPr>
        <w:spacing w:after="80"/>
      </w:pPr>
      <w:r>
        <w:rPr>
          <w:rFonts w:ascii="Arial" w:cs="Arial" w:eastAsia="Arial" w:hAnsi="Arial"/>
          <w:sz w:val="20"/>
          <w:szCs w:val="20"/>
        </w:rPr>
        <w:t xml:space="preserve">Available baseline tumor specimen (FFPE) for central biomarker assessment (PMR-4233 sub-study)</w:t>
      </w:r>
    </w:p>
    <w:p>
      <w:pPr>
        <w:pStyle w:val="Heading2"/>
        <w:spacing w:before="240" w:after="120"/>
      </w:pPr>
      <w:r>
        <w:rPr>
          <w:rFonts w:ascii="Arial" w:cs="Arial" w:eastAsia="Arial" w:hAnsi="Arial"/>
          <w:b/>
          <w:bCs/>
          <w:color w:val="2E5FA3"/>
          <w:sz w:val="24"/>
          <w:szCs w:val="24"/>
        </w:rPr>
        <w:t xml:space="preserve">4.2 Exclusion Criteria</w:t>
      </w:r>
    </w:p>
    <w:p>
      <w:pPr>
        <w:pStyle w:val="ListParagraph"/>
        <w:numPr>
          <w:ilvl w:val="0"/>
          <w:numId w:val="2"/>
        </w:numPr>
        <w:spacing w:after="80"/>
      </w:pPr>
      <w:r>
        <w:rPr>
          <w:rFonts w:ascii="Arial" w:cs="Arial" w:eastAsia="Arial" w:hAnsi="Arial"/>
          <w:sz w:val="20"/>
          <w:szCs w:val="20"/>
        </w:rPr>
        <w:t xml:space="preserve">Prior systemic anti-cancer therapy for metastatic disease (except Cohort B retrospective window)</w:t>
      </w:r>
    </w:p>
    <w:p>
      <w:pPr>
        <w:pStyle w:val="ListParagraph"/>
        <w:numPr>
          <w:ilvl w:val="0"/>
          <w:numId w:val="2"/>
        </w:numPr>
        <w:spacing w:after="80"/>
      </w:pPr>
      <w:r>
        <w:rPr>
          <w:rFonts w:ascii="Arial" w:cs="Arial" w:eastAsia="Arial" w:hAnsi="Arial"/>
          <w:sz w:val="20"/>
          <w:szCs w:val="20"/>
        </w:rPr>
        <w:t xml:space="preserve">Receipt of any investigational agent within 4 weeks of enrollment</w:t>
      </w:r>
    </w:p>
    <w:p>
      <w:pPr>
        <w:pStyle w:val="ListParagraph"/>
        <w:numPr>
          <w:ilvl w:val="0"/>
          <w:numId w:val="2"/>
        </w:numPr>
        <w:spacing w:after="80"/>
      </w:pPr>
      <w:r>
        <w:rPr>
          <w:rFonts w:ascii="Arial" w:cs="Arial" w:eastAsia="Arial" w:hAnsi="Arial"/>
          <w:sz w:val="20"/>
          <w:szCs w:val="20"/>
        </w:rPr>
        <w:t xml:space="preserve">Participation in interventional clinical trial concurrent with study enrollment</w:t>
      </w:r>
    </w:p>
    <w:p>
      <w:pPr>
        <w:pStyle w:val="ListParagraph"/>
        <w:numPr>
          <w:ilvl w:val="0"/>
          <w:numId w:val="2"/>
        </w:numPr>
        <w:spacing w:after="80"/>
      </w:pPr>
      <w:r>
        <w:rPr>
          <w:rFonts w:ascii="Arial" w:cs="Arial" w:eastAsia="Arial" w:hAnsi="Arial"/>
          <w:sz w:val="20"/>
          <w:szCs w:val="20"/>
        </w:rPr>
        <w:t xml:space="preserve">Inability to comply with study procedures or provide adequate informed consent</w:t>
      </w:r>
    </w:p>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5. SAFETY MONITORING AND REPORTING</w:t>
      </w:r>
    </w:p>
    <w:p>
      <w:pPr>
        <w:pStyle w:val="Heading2"/>
        <w:spacing w:before="240" w:after="120"/>
      </w:pPr>
      <w:r>
        <w:rPr>
          <w:rFonts w:ascii="Arial" w:cs="Arial" w:eastAsia="Arial" w:hAnsi="Arial"/>
          <w:b/>
          <w:bCs/>
          <w:color w:val="2E5FA3"/>
          <w:sz w:val="24"/>
          <w:szCs w:val="24"/>
        </w:rPr>
        <w:t xml:space="preserve">5.1 Adverse Event Definitions</w:t>
      </w:r>
    </w:p>
    <w:p>
      <w:pPr>
        <w:spacing w:after="120"/>
      </w:pPr>
      <w:r>
        <w:rPr>
          <w:rFonts w:ascii="Arial" w:cs="Arial" w:eastAsia="Arial" w:hAnsi="Arial"/>
          <w:sz w:val="20"/>
          <w:szCs w:val="20"/>
        </w:rPr>
        <w:t xml:space="preserve">All adverse events will be graded per NCI CTCAE v5.0. Immune-related adverse events (irAEs) are defined as adverse events with an immune-mediated etiology requiring immunosuppressive therapy, occurring during or within 90 days of last cervimab dose.</w:t>
      </w:r>
    </w:p>
    <w:p>
      <w:pPr>
        <w:pStyle w:val="Heading2"/>
        <w:spacing w:before="240" w:after="120"/>
      </w:pPr>
      <w:r>
        <w:rPr>
          <w:rFonts w:ascii="Arial" w:cs="Arial" w:eastAsia="Arial" w:hAnsi="Arial"/>
          <w:b/>
          <w:bCs/>
          <w:color w:val="2E5FA3"/>
          <w:sz w:val="24"/>
          <w:szCs w:val="24"/>
        </w:rPr>
        <w:t xml:space="preserve">5.2 Expedited Reporting</w:t>
      </w:r>
    </w:p>
    <w:p>
      <w:pPr>
        <w:spacing w:after="120"/>
      </w:pPr>
      <w:r>
        <w:rPr>
          <w:rFonts w:ascii="Arial" w:cs="Arial" w:eastAsia="Arial" w:hAnsi="Arial"/>
          <w:sz w:val="20"/>
          <w:szCs w:val="20"/>
        </w:rPr>
        <w:t xml:space="preserve">All unexpected serious adverse drug reactions (SADRs) will be reported to FDA within 15 calendar days per 21 CFR 312.32(c). Fatal or life-threatening unexpected SADRs will be reported within 7 calendar days. Annual IND Safety Reports will be submitted per 21 CFR 312.33.</w:t>
      </w:r>
    </w:p>
    <w:p>
      <w:pPr>
        <w:pStyle w:val="Heading2"/>
        <w:spacing w:before="240" w:after="120"/>
      </w:pPr>
      <w:r>
        <w:rPr>
          <w:rFonts w:ascii="Arial" w:cs="Arial" w:eastAsia="Arial" w:hAnsi="Arial"/>
          <w:b/>
          <w:bCs/>
          <w:color w:val="2E5FA3"/>
          <w:sz w:val="24"/>
          <w:szCs w:val="24"/>
        </w:rPr>
        <w:t xml:space="preserve">5.3 Data Safety Monitoring Board (DSMB)</w:t>
      </w:r>
    </w:p>
    <w:p>
      <w:pPr>
        <w:spacing w:after="120"/>
      </w:pPr>
      <w:r>
        <w:rPr>
          <w:rFonts w:ascii="Arial" w:cs="Arial" w:eastAsia="Arial" w:hAnsi="Arial"/>
          <w:sz w:val="20"/>
          <w:szCs w:val="20"/>
        </w:rPr>
        <w:t xml:space="preserve">An independent DSMB will be constituted prior to study activation. The DSMB will conduct formal safety reviews at 6-month intervals and ad hoc as clinically indicated. The DSMB charter is provided as a separate document (Appendix C).</w:t>
      </w:r>
    </w:p>
    <w:p>
      <w:pPr>
        <w:pStyle w:val="Heading2"/>
        <w:spacing w:before="240" w:after="120"/>
      </w:pPr>
      <w:r>
        <w:rPr>
          <w:rFonts w:ascii="Arial" w:cs="Arial" w:eastAsia="Arial" w:hAnsi="Arial"/>
          <w:b/>
          <w:bCs/>
          <w:color w:val="2E5FA3"/>
          <w:sz w:val="24"/>
          <w:szCs w:val="24"/>
        </w:rPr>
        <w:t xml:space="preserve">5.4 Stopping Rules</w:t>
      </w:r>
    </w:p>
    <w:p>
      <w:pPr>
        <w:spacing w:after="120"/>
      </w:pPr>
      <w:r>
        <w:rPr>
          <w:rFonts w:ascii="Arial" w:cs="Arial" w:eastAsia="Arial" w:hAnsi="Arial"/>
          <w:sz w:val="20"/>
          <w:szCs w:val="20"/>
        </w:rPr>
        <w:t xml:space="preserve">The DSMB may recommend study modification or early termination if observed serious irAE rates exceed 15% Grade 3-5 or if a previously uncharacterized safety signal is identified at a frequency and severity warranting sponsor notification to FDA.</w:t>
      </w:r>
    </w:p>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6. REGULATORY REPORTING OBLIGATIONS</w:t>
      </w:r>
    </w:p>
    <w:p>
      <w:pPr>
        <w:pStyle w:val="Heading2"/>
        <w:spacing w:before="240" w:after="120"/>
      </w:pPr>
      <w:r>
        <w:rPr>
          <w:rFonts w:ascii="Arial" w:cs="Arial" w:eastAsia="Arial" w:hAnsi="Arial"/>
          <w:b/>
          <w:bCs/>
          <w:color w:val="2E5FA3"/>
          <w:sz w:val="24"/>
          <w:szCs w:val="24"/>
        </w:rPr>
        <w:t xml:space="preserve">6.1 Annual PMC/PMR Status Reports</w:t>
      </w:r>
    </w:p>
    <w:p>
      <w:pPr>
        <w:spacing w:after="120"/>
      </w:pPr>
      <w:r>
        <w:rPr>
          <w:rFonts w:ascii="Arial" w:cs="Arial" w:eastAsia="Arial" w:hAnsi="Arial"/>
          <w:sz w:val="20"/>
          <w:szCs w:val="20"/>
        </w:rPr>
        <w:t xml:space="preserve">The sponsor will submit annual status reports to FDA under 21 CFR 314.81(b)(2)(vii) by June 15 of each calendar year. Each report will include: enrollment status, protocol amendments, interim analyses, safety summaries, and timeline updates.</w:t>
      </w:r>
    </w:p>
    <w:p>
      <w:pPr>
        <w:pStyle w:val="Heading2"/>
        <w:spacing w:before="240" w:after="120"/>
      </w:pPr>
      <w:r>
        <w:rPr>
          <w:rFonts w:ascii="Arial" w:cs="Arial" w:eastAsia="Arial" w:hAnsi="Arial"/>
          <w:b/>
          <w:bCs/>
          <w:color w:val="2E5FA3"/>
          <w:sz w:val="24"/>
          <w:szCs w:val="24"/>
        </w:rPr>
        <w:t xml:space="preserve">6.2 Protocol Amendments</w:t>
      </w:r>
    </w:p>
    <w:p>
      <w:pPr>
        <w:spacing w:after="120"/>
      </w:pPr>
      <w:r>
        <w:rPr>
          <w:rFonts w:ascii="Arial" w:cs="Arial" w:eastAsia="Arial" w:hAnsi="Arial"/>
          <w:sz w:val="20"/>
          <w:szCs w:val="20"/>
        </w:rPr>
        <w:t xml:space="preserve">Substantial protocol amendments will be submitted to FDA as amendments to the IND prior to implementation. Non-substantial changes will be reported in the next annual PMC/PMR status report.</w:t>
      </w:r>
    </w:p>
    <w:p>
      <w:pPr>
        <w:pStyle w:val="Heading2"/>
        <w:spacing w:before="240" w:after="120"/>
      </w:pPr>
      <w:r>
        <w:rPr>
          <w:rFonts w:ascii="Arial" w:cs="Arial" w:eastAsia="Arial" w:hAnsi="Arial"/>
          <w:b/>
          <w:bCs/>
          <w:color w:val="2E5FA3"/>
          <w:sz w:val="24"/>
          <w:szCs w:val="24"/>
        </w:rPr>
        <w:t xml:space="preserve">6.3 Final Study Report</w:t>
      </w:r>
    </w:p>
    <w:p>
      <w:pPr>
        <w:spacing w:after="120"/>
      </w:pPr>
      <w:r>
        <w:rPr>
          <w:rFonts w:ascii="Arial" w:cs="Arial" w:eastAsia="Arial" w:hAnsi="Arial"/>
          <w:sz w:val="20"/>
          <w:szCs w:val="20"/>
        </w:rPr>
        <w:t xml:space="preserve">A final clinical study report (CSR) conforming to ICH E3 guidelines will be submitted to the BLA no later than [DATE per FDA agreement], approximately 12 months after database lock.</w:t>
      </w:r>
    </w:p>
    <w:p>
      <w:pPr>
        <w:pStyle w:val="Heading2"/>
        <w:spacing w:before="240" w:after="120"/>
      </w:pPr>
      <w:r>
        <w:rPr>
          <w:rFonts w:ascii="Arial" w:cs="Arial" w:eastAsia="Arial" w:hAnsi="Arial"/>
          <w:b/>
          <w:bCs/>
          <w:color w:val="2E5FA3"/>
          <w:sz w:val="24"/>
          <w:szCs w:val="24"/>
        </w:rPr>
        <w:t xml:space="preserve">6.4 PMC/PMR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c>
          <w:tcPr>
            <w:tcW w:type="dxa" w:w="400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80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2560"/>
            <w:tcBorders>
              <w:top w:val="single" w:color="FFFFFF" w:sz="1"/>
              <w:left w:val="single" w:color="FFFFFF" w:sz="1"/>
              <w:bottom w:val="single" w:color="FFFFFF" w:sz="1"/>
              <w:right w:val="single" w:color="FFFFFF"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PMC/PMR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Protocol finalization and FDA agreement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 Year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patient enrolled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Q3 Year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PMC-4231</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50% enrollment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Q2 Year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Enrollment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Q3 Year 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Primary analysis data cut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Q4 Year 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CSR submission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Q4 Year 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w:t>
            </w:r>
          </w:p>
        </w:tc>
      </w:tr>
    </w:tbl>
    <w:p>
      <w:pPr>
        <w:spacing w:after="0"/>
      </w:pPr>
      <w:r>
        <w:br w:type="page"/>
      </w:r>
    </w:p>
    <w:p>
      <w:pPr>
        <w:pStyle w:val="Heading1"/>
        <w:pBdr>
          <w:bottom w:val="single" w:color="2E5FA3" w:sz="8" w:space="4"/>
        </w:pBdr>
        <w:spacing w:before="360" w:after="160"/>
      </w:pPr>
      <w:r>
        <w:rPr>
          <w:rFonts w:ascii="Arial" w:cs="Arial" w:eastAsia="Arial" w:hAnsi="Arial"/>
          <w:b/>
          <w:bCs/>
          <w:color w:val="1F3864"/>
          <w:sz w:val="28"/>
          <w:szCs w:val="28"/>
        </w:rPr>
        <w:t xml:space="preserve">7. DATA MANAGEMENT AND STATISTICAL ANALYSIS</w:t>
      </w:r>
    </w:p>
    <w:p>
      <w:pPr>
        <w:pStyle w:val="Heading2"/>
        <w:spacing w:before="240" w:after="120"/>
      </w:pPr>
      <w:r>
        <w:rPr>
          <w:rFonts w:ascii="Arial" w:cs="Arial" w:eastAsia="Arial" w:hAnsi="Arial"/>
          <w:b/>
          <w:bCs/>
          <w:color w:val="2E5FA3"/>
          <w:sz w:val="24"/>
          <w:szCs w:val="24"/>
        </w:rPr>
        <w:t xml:space="preserve">7.1 Data Collection</w:t>
      </w:r>
    </w:p>
    <w:p>
      <w:pPr>
        <w:spacing w:after="120"/>
      </w:pPr>
      <w:r>
        <w:rPr>
          <w:rFonts w:ascii="Arial" w:cs="Arial" w:eastAsia="Arial" w:hAnsi="Arial"/>
          <w:sz w:val="20"/>
          <w:szCs w:val="20"/>
        </w:rPr>
        <w:t xml:space="preserve">Data will be collected via a validated electronic data capture (EDC) system (Medidata Rave). Source documents include medical records, electronic health records, radiology reports, pathology reports, and patient-reported outcome instruments. Central laboratory will process all biomarker specimens.</w:t>
      </w:r>
    </w:p>
    <w:p>
      <w:pPr>
        <w:pStyle w:val="Heading2"/>
        <w:spacing w:before="240" w:after="120"/>
      </w:pPr>
      <w:r>
        <w:rPr>
          <w:rFonts w:ascii="Arial" w:cs="Arial" w:eastAsia="Arial" w:hAnsi="Arial"/>
          <w:b/>
          <w:bCs/>
          <w:color w:val="2E5FA3"/>
          <w:sz w:val="24"/>
          <w:szCs w:val="24"/>
        </w:rPr>
        <w:t xml:space="preserve">7.2 Statistical Analysis Plan</w:t>
      </w:r>
    </w:p>
    <w:p>
      <w:pPr>
        <w:spacing w:after="120"/>
      </w:pPr>
      <w:r>
        <w:rPr>
          <w:rFonts w:ascii="Arial" w:cs="Arial" w:eastAsia="Arial" w:hAnsi="Arial"/>
          <w:sz w:val="20"/>
          <w:szCs w:val="20"/>
        </w:rPr>
        <w:t xml:space="preserve">A full Statistical Analysis Plan (SAP) will be finalized before any unblinded data review. Key statistical approaches:</w:t>
      </w:r>
    </w:p>
    <w:p>
      <w:pPr>
        <w:pStyle w:val="ListParagraph"/>
        <w:numPr>
          <w:ilvl w:val="0"/>
          <w:numId w:val="2"/>
        </w:numPr>
        <w:spacing w:after="80"/>
      </w:pPr>
      <w:r>
        <w:rPr>
          <w:rFonts w:ascii="Arial" w:cs="Arial" w:eastAsia="Arial" w:hAnsi="Arial"/>
          <w:sz w:val="20"/>
          <w:szCs w:val="20"/>
        </w:rPr>
        <w:t xml:space="preserve">OS and PFS: Kaplan-Meier estimates; log-rank test; Cox proportional hazards model with stratification by ECOG PS, primary tumor location, and RAS/BRAF mutation status</w:t>
      </w:r>
    </w:p>
    <w:p>
      <w:pPr>
        <w:pStyle w:val="ListParagraph"/>
        <w:numPr>
          <w:ilvl w:val="0"/>
          <w:numId w:val="2"/>
        </w:numPr>
        <w:spacing w:after="80"/>
      </w:pPr>
      <w:r>
        <w:rPr>
          <w:rFonts w:ascii="Arial" w:cs="Arial" w:eastAsia="Arial" w:hAnsi="Arial"/>
          <w:sz w:val="20"/>
          <w:szCs w:val="20"/>
        </w:rPr>
        <w:t xml:space="preserve">ORR: Exact binomial confidence intervals</w:t>
      </w:r>
    </w:p>
    <w:p>
      <w:pPr>
        <w:pStyle w:val="ListParagraph"/>
        <w:numPr>
          <w:ilvl w:val="0"/>
          <w:numId w:val="2"/>
        </w:numPr>
        <w:spacing w:after="80"/>
      </w:pPr>
      <w:r>
        <w:rPr>
          <w:rFonts w:ascii="Arial" w:cs="Arial" w:eastAsia="Arial" w:hAnsi="Arial"/>
          <w:sz w:val="20"/>
          <w:szCs w:val="20"/>
        </w:rPr>
        <w:t xml:space="preserve">irAE rates: Point estimates with 95% Wilson score intervals; time-to-onset analyzed by Nelson-Aalen estimator</w:t>
      </w:r>
    </w:p>
    <w:p>
      <w:pPr>
        <w:pStyle w:val="ListParagraph"/>
        <w:numPr>
          <w:ilvl w:val="0"/>
          <w:numId w:val="2"/>
        </w:numPr>
        <w:spacing w:after="80"/>
      </w:pPr>
      <w:r>
        <w:rPr>
          <w:rFonts w:ascii="Arial" w:cs="Arial" w:eastAsia="Arial" w:hAnsi="Arial"/>
          <w:sz w:val="20"/>
          <w:szCs w:val="20"/>
        </w:rPr>
        <w:t xml:space="preserve">Biomarker analyses: Pre-specified landmark analyses at Week 9 for ctDNA; Cox regression models for PD-L1 CPS and TMB-H as continuous predictors</w:t>
      </w:r>
    </w:p>
    <w:p>
      <w:pPr>
        <w:pStyle w:val="Heading2"/>
        <w:spacing w:before="240" w:after="120"/>
      </w:pPr>
      <w:r>
        <w:rPr>
          <w:rFonts w:ascii="Arial" w:cs="Arial" w:eastAsia="Arial" w:hAnsi="Arial"/>
          <w:b/>
          <w:bCs/>
          <w:color w:val="2E5FA3"/>
          <w:sz w:val="24"/>
          <w:szCs w:val="24"/>
        </w:rPr>
        <w:t xml:space="preserve">7.3 Analysis Populations</w:t>
      </w:r>
    </w:p>
    <w:p>
      <w:pPr>
        <w:pStyle w:val="ListParagraph"/>
        <w:numPr>
          <w:ilvl w:val="0"/>
          <w:numId w:val="2"/>
        </w:numPr>
        <w:spacing w:after="80"/>
      </w:pPr>
      <w:r>
        <w:rPr>
          <w:rFonts w:ascii="Arial" w:cs="Arial" w:eastAsia="Arial" w:hAnsi="Arial"/>
          <w:sz w:val="20"/>
          <w:szCs w:val="20"/>
        </w:rPr>
        <w:t xml:space="preserve">Full Analysis Set (FAS): All enrolled patients who received at least one dose of cervimab</w:t>
      </w:r>
    </w:p>
    <w:p>
      <w:pPr>
        <w:pStyle w:val="ListParagraph"/>
        <w:numPr>
          <w:ilvl w:val="0"/>
          <w:numId w:val="2"/>
        </w:numPr>
        <w:spacing w:after="80"/>
      </w:pPr>
      <w:r>
        <w:rPr>
          <w:rFonts w:ascii="Arial" w:cs="Arial" w:eastAsia="Arial" w:hAnsi="Arial"/>
          <w:sz w:val="20"/>
          <w:szCs w:val="20"/>
        </w:rPr>
        <w:t xml:space="preserve">Safety Analysis Set: Identical to FAS</w:t>
      </w:r>
    </w:p>
    <w:p>
      <w:pPr>
        <w:pStyle w:val="ListParagraph"/>
        <w:numPr>
          <w:ilvl w:val="0"/>
          <w:numId w:val="2"/>
        </w:numPr>
        <w:spacing w:after="80"/>
      </w:pPr>
      <w:r>
        <w:rPr>
          <w:rFonts w:ascii="Arial" w:cs="Arial" w:eastAsia="Arial" w:hAnsi="Arial"/>
          <w:sz w:val="20"/>
          <w:szCs w:val="20"/>
        </w:rPr>
        <w:t xml:space="preserve">Biomarker Evaluable Set (BES): FAS patients with evaluable baseline biomarker specimens</w:t>
      </w:r>
    </w:p>
    <w:p>
      <w:pPr>
        <w:spacing w:after="60"/>
      </w:pPr>
      <w:r>
        <w:t xml:space="preserve"/>
      </w:r>
    </w:p>
    <w:p>
      <w:pPr>
        <w:pStyle w:val="Heading1"/>
        <w:pBdr>
          <w:bottom w:val="single" w:color="2E5FA3" w:sz="8" w:space="4"/>
        </w:pBdr>
        <w:spacing w:before="360" w:after="160"/>
      </w:pPr>
      <w:r>
        <w:rPr>
          <w:rFonts w:ascii="Arial" w:cs="Arial" w:eastAsia="Arial" w:hAnsi="Arial"/>
          <w:b/>
          <w:bCs/>
          <w:color w:val="1F3864"/>
          <w:sz w:val="28"/>
          <w:szCs w:val="28"/>
        </w:rPr>
        <w:t xml:space="preserve">8. ETHICAL CONSIDERATIONS</w:t>
      </w:r>
    </w:p>
    <w:p>
      <w:pPr>
        <w:spacing w:after="120"/>
      </w:pPr>
      <w:r>
        <w:rPr>
          <w:rFonts w:ascii="Arial" w:cs="Arial" w:eastAsia="Arial" w:hAnsi="Arial"/>
          <w:sz w:val="20"/>
          <w:szCs w:val="20"/>
        </w:rPr>
        <w:t xml:space="preserve">The study will be conducted in accordance with the Declaration of Helsinki, ICH E6(R2) Good Clinical Practice guidelines, and all applicable federal and local regulations. The protocol and all patient-facing documents will be reviewed and approved by a central IRB (WIRB) and/or local IRBs per site requirements. Written informed consent will be obtained from all prospectively enrolled patients. Patient privacy will be protected per HIPAA and applicable EU GDPR requirements.</w:t>
      </w:r>
    </w:p>
    <w:p>
      <w:pPr>
        <w:spacing w:after="60"/>
      </w:pPr>
      <w:r>
        <w:t xml:space="preserve"/>
      </w:r>
    </w:p>
    <w:p>
      <w:pPr>
        <w:pStyle w:val="Heading1"/>
        <w:pBdr>
          <w:bottom w:val="single" w:color="2E5FA3" w:sz="8" w:space="4"/>
        </w:pBdr>
        <w:spacing w:before="360" w:after="160"/>
      </w:pPr>
      <w:r>
        <w:rPr>
          <w:rFonts w:ascii="Arial" w:cs="Arial" w:eastAsia="Arial" w:hAnsi="Arial"/>
          <w:b/>
          <w:bCs/>
          <w:color w:val="1F3864"/>
          <w:sz w:val="28"/>
          <w:szCs w:val="28"/>
        </w:rPr>
        <w:t xml:space="preserve">9. REFERENCES</w:t>
      </w:r>
    </w:p>
    <w:p>
      <w:pPr>
        <w:spacing w:after="120"/>
      </w:pPr>
      <w:r>
        <w:rPr>
          <w:rFonts w:ascii="Arial" w:cs="Arial" w:eastAsia="Arial" w:hAnsi="Arial"/>
          <w:sz w:val="20"/>
          <w:szCs w:val="20"/>
        </w:rPr>
        <w:t xml:space="preserve">1. FDA. Guidance for Industry: Postmarketing Studies and Clinical Trials — Implementation of Section 505(o)(3) of the Federal Food, Drug, and Cosmetic Act. 2011.</w:t>
      </w:r>
    </w:p>
    <w:p>
      <w:pPr>
        <w:spacing w:after="120"/>
      </w:pPr>
      <w:r>
        <w:rPr>
          <w:rFonts w:ascii="Arial" w:cs="Arial" w:eastAsia="Arial" w:hAnsi="Arial"/>
          <w:sz w:val="20"/>
          <w:szCs w:val="20"/>
        </w:rPr>
        <w:t xml:space="preserve">2. FDA. Guidance for Industry: Format and Content of Proposed Risk Evaluation and Mitigation Strategies (REMS). 2017.</w:t>
      </w:r>
    </w:p>
    <w:p>
      <w:pPr>
        <w:spacing w:after="120"/>
      </w:pPr>
      <w:r>
        <w:rPr>
          <w:rFonts w:ascii="Arial" w:cs="Arial" w:eastAsia="Arial" w:hAnsi="Arial"/>
          <w:sz w:val="20"/>
          <w:szCs w:val="20"/>
        </w:rPr>
        <w:t xml:space="preserve">3. ICH E3. Structure and Content of Clinical Study Reports. 1995.</w:t>
      </w:r>
    </w:p>
    <w:p>
      <w:pPr>
        <w:spacing w:after="120"/>
      </w:pPr>
      <w:r>
        <w:rPr>
          <w:rFonts w:ascii="Arial" w:cs="Arial" w:eastAsia="Arial" w:hAnsi="Arial"/>
          <w:sz w:val="20"/>
          <w:szCs w:val="20"/>
        </w:rPr>
        <w:t xml:space="preserve">4. NCI CTCAE v5.0. U.S. Department of Health and Human Services. 2017.</w:t>
      </w:r>
    </w:p>
    <w:p>
      <w:pPr>
        <w:spacing w:after="120"/>
      </w:pPr>
      <w:r>
        <w:rPr>
          <w:rFonts w:ascii="Arial" w:cs="Arial" w:eastAsia="Arial" w:hAnsi="Arial"/>
          <w:sz w:val="20"/>
          <w:szCs w:val="20"/>
        </w:rPr>
        <w:t xml:space="preserve">5. RECIST v1.1. Eisenhauer EA et al. Eur J Cancer. 2009;45(2):228-247.</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spacing w:before="80"/>
    </w:pPr>
    <w:r>
      <w:rPr>
        <w:rFonts w:ascii="Arial" w:cs="Arial" w:eastAsia="Arial" w:hAnsi="Arial"/>
        <w:color w:val="777777"/>
        <w:sz w:val="16"/>
        <w:szCs w:val="16"/>
      </w:rPr>
      <w:t xml:space="preserve">CERV-PMC-001 v1.0   |   For Regulatory Purposes Only   |   Page </w:t>
    </w:r>
    <w:fldSimple w:instr="PAGE">
      <w:r>
        <w:rPr>
          <w:rFonts w:ascii="Arial" w:cs="Arial" w:eastAsia="Arial" w:hAnsi="Arial"/>
          <w:color w:val="777777"/>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spacing w:after="80"/>
    </w:pPr>
    <w:r>
      <w:rPr>
        <w:rFonts w:ascii="Arial" w:cs="Arial" w:eastAsia="Arial" w:hAnsi="Arial"/>
        <w:color w:val="555555"/>
        <w:sz w:val="18"/>
        <w:szCs w:val="18"/>
      </w:rPr>
      <w:t xml:space="preserve">CERVIMAB (cerviximab-pgrc) — CONFIDENTIAL</w:t>
    </w:r>
    <w:r>
      <w:rPr>
        <w:rFonts w:ascii="Arial" w:cs="Arial" w:eastAsia="Arial" w:hAnsi="Arial"/>
        <w:b/>
        <w:bCs/>
        <w:color w:val="2E5FA3"/>
        <w:sz w:val="18"/>
        <w:szCs w:val="18"/>
      </w:rPr>
      <w:t xml:space="preserve">   |   PMC/PMR STUDY PROTOCOL — CERV-PMC-001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2026-03-16T14:48:10.397Z</dcterms:created>
  <dcterms:modified xsi:type="dcterms:W3CDTF">2026-03-16T14:48:10.398Z</dcterms:modified>
</cp:coreProperties>
</file>

<file path=docProps/custom.xml><?xml version="1.0" encoding="utf-8"?>
<Properties xmlns="http://schemas.openxmlformats.org/officeDocument/2006/custom-properties" xmlns:vt="http://schemas.openxmlformats.org/officeDocument/2006/docPropsVTypes"/>
</file>