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spacing w:before="0" w:after="80"/>
              <w:jc w:val="center"/>
            </w:pPr>
            <w:r>
              <w:rPr>
                <w:rFonts w:ascii="Arial" w:cs="Arial" w:eastAsia="Arial" w:hAnsi="Arial"/>
                <w:b/>
                <w:bCs/>
                <w:color w:val="FFFFFF"/>
                <w:sz w:val="36"/>
                <w:szCs w:val="36"/>
              </w:rPr>
              <w:t xml:space="preserve">CERVIMAB (CVM-101)</w:t>
            </w:r>
          </w:p>
          <w:p>
            <w:pPr>
              <w:spacing w:before="0" w:after="0"/>
              <w:jc w:val="center"/>
            </w:pPr>
            <w:r>
              <w:rPr>
                <w:rFonts w:ascii="Arial" w:cs="Arial" w:eastAsia="Arial" w:hAnsi="Arial"/>
                <w:i/>
                <w:iCs/>
                <w:color w:val="C8DCF0"/>
                <w:sz w:val="22"/>
                <w:szCs w:val="22"/>
              </w:rPr>
              <w:t xml:space="preserve">Investigational PD-1 Inhibitor  |  dMMR/MSI-H Metastatic Colorectal Cancer</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60"/>
              <w:left w:type="dxa" w:w="300"/>
              <w:bottom w:type="dxa" w:w="160"/>
              <w:right w:type="dxa" w:w="300"/>
            </w:tcMar>
          </w:tcPr>
          <w:p>
            <w:pPr>
              <w:jc w:val="center"/>
            </w:pPr>
            <w:r>
              <w:rPr>
                <w:rFonts w:ascii="Arial" w:cs="Arial" w:eastAsia="Arial" w:hAnsi="Arial"/>
                <w:b/>
                <w:bCs/>
                <w:color w:val="1B3A5C"/>
                <w:sz w:val="28"/>
                <w:szCs w:val="28"/>
              </w:rPr>
              <w:t xml:space="preserve">POST-LAUNCH REAL-WORLD DATA &amp; EVIDENCE DOCUMENT PACKAGE</w:t>
            </w:r>
          </w:p>
          <w:p>
            <w:pPr>
              <w:spacing w:before="100" w:after="100" w:line="276"/>
              <w:jc w:val="both"/>
            </w:pPr>
            <w:r>
              <w:rPr>
                <w:rFonts w:ascii="Arial" w:cs="Arial" w:eastAsia="Arial" w:hAnsi="Arial"/>
                <w:b w:val="false"/>
                <w:bCs w:val="false"/>
                <w:i w:val="false"/>
                <w:iCs w:val="false"/>
                <w:color w:val="1A1A1A"/>
                <w:sz w:val="8"/>
                <w:szCs w:val="8"/>
              </w:rPr>
              <w:t xml:space="preserve"/>
            </w:r>
          </w:p>
          <w:p>
            <w:pPr>
              <w:jc w:val="center"/>
            </w:pPr>
            <w:r>
              <w:rPr>
                <w:rFonts w:ascii="Arial" w:cs="Arial" w:eastAsia="Arial" w:hAnsi="Arial"/>
                <w:color w:val="7F8C9A"/>
                <w:sz w:val="18"/>
                <w:szCs w:val="18"/>
              </w:rPr>
              <w:t xml:space="preserve">Compiled pursuant to US FDA Regulations and Guidance:</w:t>
            </w:r>
          </w:p>
          <w:p>
            <w:pPr>
              <w:jc w:val="center"/>
            </w:pPr>
            <w:r>
              <w:rPr>
                <w:rFonts w:ascii="Arial" w:cs="Arial" w:eastAsia="Arial" w:hAnsi="Arial"/>
                <w:i/>
                <w:iCs/>
                <w:color w:val="7F8C9A"/>
                <w:sz w:val="18"/>
                <w:szCs w:val="18"/>
              </w:rPr>
              <w:t xml:space="preserve">21 CFR Parts 50, 56, 312, 314  |  FDA RWD/RWE Framework (2018, 2021, 2023)  |  ICH E6(R3)</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IND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IND-CERV-2024-XXXX</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NDA/BLA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BLA-761XXX (Post-Approval)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Sponsor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Veridian Oncology, Inc.</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Medical Monitor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Clinical Development — Oncology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Indication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dMMR/MSI-H Metastatic Colorectal Cancer (mCRC), 1L/2L+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Mechanism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Humanized IgG4 anti-PD-1 monoclonal antibody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 — DRAFT FOR REGULATORY SUBMISSION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March 2026</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CONFIDENTIAL — For Regulatory and Authorized Reviewer Use Only</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EBF4FB" w:val="clear"/>
            <w:tcMar>
              <w:top w:type="dxa" w:w="100"/>
              <w:left w:type="dxa" w:w="200"/>
              <w:bottom w:type="dxa" w:w="100"/>
              <w:right w:type="dxa" w:w="200"/>
            </w:tcMar>
          </w:tcPr>
          <w:p>
            <w:pPr>
              <w:jc w:val="center"/>
            </w:pPr>
            <w:r>
              <w:rPr>
                <w:rFonts w:ascii="Arial" w:cs="Arial" w:eastAsia="Arial" w:hAnsi="Arial"/>
                <w:i/>
                <w:iCs/>
                <w:color w:val="1B3A5C"/>
                <w:sz w:val="17"/>
                <w:szCs w:val="17"/>
              </w:rPr>
              <w:t xml:space="preserve">This document package contains: (I) Real-World Data Analysis Plan (RWD-AP) | (II) RWE Study Protocols [Studies RWE-01, RWE-02, RWE-03] | (III) Data Use Agreement | (IV) IRB/Ethics Approval Submission</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00" w:after="100" w:line="276"/>
        <w:jc w:val="both"/>
      </w:pPr>
      <w:r>
        <w:rPr>
          <w:rFonts w:ascii="Arial" w:cs="Arial" w:eastAsia="Arial" w:hAnsi="Arial"/>
          <w:b w:val="false"/>
          <w:bCs w:val="false"/>
          <w:i w:val="false"/>
          <w:iCs w:val="false"/>
          <w:color w:val="1A1A1A"/>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TABLE OF CONTENTS</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tabs>
          <w:tab w:val="right" w:pos="9000"/>
        </w:tabs>
        <w:spacing w:before="40" w:after="40"/>
      </w:pPr>
      <w:r>
        <w:rPr>
          <w:rFonts w:ascii="Arial" w:cs="Arial" w:eastAsia="Arial" w:hAnsi="Arial"/>
          <w:b/>
          <w:bCs/>
          <w:color w:val="1B3A5C"/>
          <w:sz w:val="19"/>
          <w:szCs w:val="19"/>
        </w:rPr>
        <w:t xml:space="preserve">DOCUMENT I</w:t>
      </w:r>
      <w:r>
        <w:rPr>
          <w:rFonts w:ascii="Arial" w:cs="Arial" w:eastAsia="Arial" w:hAnsi="Arial"/>
          <w:color w:val="1B3A5C"/>
          <w:sz w:val="19"/>
          <w:szCs w:val="19"/>
        </w:rPr>
        <w:t xml:space="preserve">    Real-World Data Analysis Plan (RWD-AP)</w:t>
      </w:r>
      <w:r>
        <w:rPr>
          <w:rFonts w:ascii="Arial" w:cs="Arial" w:eastAsia="Arial" w:hAnsi="Arial"/>
          <w:color w:val="7F8C9A"/>
          <w:sz w:val="19"/>
          <w:szCs w:val="19"/>
        </w:rPr>
        <w:t xml:space="preserve">	3</w:t>
      </w:r>
    </w:p>
    <w:p>
      <w:pPr>
        <w:tabs>
          <w:tab w:val="right" w:pos="9000"/>
        </w:tabs>
        <w:spacing w:before="40" w:after="40"/>
      </w:pPr>
      <w:r>
        <w:rPr>
          <w:rFonts w:ascii="Arial" w:cs="Arial" w:eastAsia="Arial" w:hAnsi="Arial"/>
          <w:b w:val="false"/>
          <w:bCs w:val="false"/>
          <w:color w:val="1A1A1A"/>
          <w:sz w:val="19"/>
          <w:szCs w:val="19"/>
        </w:rPr>
        <w:t xml:space="preserve">  1.0</w:t>
      </w:r>
      <w:r>
        <w:rPr>
          <w:rFonts w:ascii="Arial" w:cs="Arial" w:eastAsia="Arial" w:hAnsi="Arial"/>
          <w:color w:val="1A1A1A"/>
          <w:sz w:val="19"/>
          <w:szCs w:val="19"/>
        </w:rPr>
        <w:t xml:space="preserve">    Background and Rationale</w:t>
      </w:r>
      <w:r>
        <w:rPr>
          <w:rFonts w:ascii="Arial" w:cs="Arial" w:eastAsia="Arial" w:hAnsi="Arial"/>
          <w:color w:val="7F8C9A"/>
          <w:sz w:val="19"/>
          <w:szCs w:val="19"/>
        </w:rPr>
        <w:t xml:space="preserve">	3</w:t>
      </w:r>
    </w:p>
    <w:p>
      <w:pPr>
        <w:tabs>
          <w:tab w:val="right" w:pos="9000"/>
        </w:tabs>
        <w:spacing w:before="40" w:after="40"/>
      </w:pPr>
      <w:r>
        <w:rPr>
          <w:rFonts w:ascii="Arial" w:cs="Arial" w:eastAsia="Arial" w:hAnsi="Arial"/>
          <w:b w:val="false"/>
          <w:bCs w:val="false"/>
          <w:color w:val="1A1A1A"/>
          <w:sz w:val="19"/>
          <w:szCs w:val="19"/>
        </w:rPr>
        <w:t xml:space="preserve">  2.0</w:t>
      </w:r>
      <w:r>
        <w:rPr>
          <w:rFonts w:ascii="Arial" w:cs="Arial" w:eastAsia="Arial" w:hAnsi="Arial"/>
          <w:color w:val="1A1A1A"/>
          <w:sz w:val="19"/>
          <w:szCs w:val="19"/>
        </w:rPr>
        <w:t xml:space="preserve">    Study Objectives and Research Questions</w:t>
      </w:r>
      <w:r>
        <w:rPr>
          <w:rFonts w:ascii="Arial" w:cs="Arial" w:eastAsia="Arial" w:hAnsi="Arial"/>
          <w:color w:val="7F8C9A"/>
          <w:sz w:val="19"/>
          <w:szCs w:val="19"/>
        </w:rPr>
        <w:t xml:space="preserve">	3</w:t>
      </w:r>
    </w:p>
    <w:p>
      <w:pPr>
        <w:tabs>
          <w:tab w:val="right" w:pos="9000"/>
        </w:tabs>
        <w:spacing w:before="40" w:after="40"/>
      </w:pPr>
      <w:r>
        <w:rPr>
          <w:rFonts w:ascii="Arial" w:cs="Arial" w:eastAsia="Arial" w:hAnsi="Arial"/>
          <w:b w:val="false"/>
          <w:bCs w:val="false"/>
          <w:color w:val="1A1A1A"/>
          <w:sz w:val="19"/>
          <w:szCs w:val="19"/>
        </w:rPr>
        <w:t xml:space="preserve">  3.0</w:t>
      </w:r>
      <w:r>
        <w:rPr>
          <w:rFonts w:ascii="Arial" w:cs="Arial" w:eastAsia="Arial" w:hAnsi="Arial"/>
          <w:color w:val="1A1A1A"/>
          <w:sz w:val="19"/>
          <w:szCs w:val="19"/>
        </w:rPr>
        <w:t xml:space="preserve">    Data Sources</w:t>
      </w:r>
      <w:r>
        <w:rPr>
          <w:rFonts w:ascii="Arial" w:cs="Arial" w:eastAsia="Arial" w:hAnsi="Arial"/>
          <w:color w:val="7F8C9A"/>
          <w:sz w:val="19"/>
          <w:szCs w:val="19"/>
        </w:rPr>
        <w:t xml:space="preserve">	4</w:t>
      </w:r>
    </w:p>
    <w:p>
      <w:pPr>
        <w:tabs>
          <w:tab w:val="right" w:pos="9000"/>
        </w:tabs>
        <w:spacing w:before="40" w:after="40"/>
      </w:pPr>
      <w:r>
        <w:rPr>
          <w:rFonts w:ascii="Arial" w:cs="Arial" w:eastAsia="Arial" w:hAnsi="Arial"/>
          <w:b w:val="false"/>
          <w:bCs w:val="false"/>
          <w:color w:val="1A1A1A"/>
          <w:sz w:val="19"/>
          <w:szCs w:val="19"/>
        </w:rPr>
        <w:t xml:space="preserve">  4.0</w:t>
      </w:r>
      <w:r>
        <w:rPr>
          <w:rFonts w:ascii="Arial" w:cs="Arial" w:eastAsia="Arial" w:hAnsi="Arial"/>
          <w:color w:val="1A1A1A"/>
          <w:sz w:val="19"/>
          <w:szCs w:val="19"/>
        </w:rPr>
        <w:t xml:space="preserve">    Study Population</w:t>
      </w:r>
      <w:r>
        <w:rPr>
          <w:rFonts w:ascii="Arial" w:cs="Arial" w:eastAsia="Arial" w:hAnsi="Arial"/>
          <w:color w:val="7F8C9A"/>
          <w:sz w:val="19"/>
          <w:szCs w:val="19"/>
        </w:rPr>
        <w:t xml:space="preserve">	4</w:t>
      </w:r>
    </w:p>
    <w:p>
      <w:pPr>
        <w:tabs>
          <w:tab w:val="right" w:pos="9000"/>
        </w:tabs>
        <w:spacing w:before="40" w:after="40"/>
      </w:pPr>
      <w:r>
        <w:rPr>
          <w:rFonts w:ascii="Arial" w:cs="Arial" w:eastAsia="Arial" w:hAnsi="Arial"/>
          <w:b w:val="false"/>
          <w:bCs w:val="false"/>
          <w:color w:val="1A1A1A"/>
          <w:sz w:val="19"/>
          <w:szCs w:val="19"/>
        </w:rPr>
        <w:t xml:space="preserve">  5.0</w:t>
      </w:r>
      <w:r>
        <w:rPr>
          <w:rFonts w:ascii="Arial" w:cs="Arial" w:eastAsia="Arial" w:hAnsi="Arial"/>
          <w:color w:val="1A1A1A"/>
          <w:sz w:val="19"/>
          <w:szCs w:val="19"/>
        </w:rPr>
        <w:t xml:space="preserve">    Exposure Definition and Comparators</w:t>
      </w:r>
      <w:r>
        <w:rPr>
          <w:rFonts w:ascii="Arial" w:cs="Arial" w:eastAsia="Arial" w:hAnsi="Arial"/>
          <w:color w:val="7F8C9A"/>
          <w:sz w:val="19"/>
          <w:szCs w:val="19"/>
        </w:rPr>
        <w:t xml:space="preserve">	5</w:t>
      </w:r>
    </w:p>
    <w:p>
      <w:pPr>
        <w:tabs>
          <w:tab w:val="right" w:pos="9000"/>
        </w:tabs>
        <w:spacing w:before="40" w:after="40"/>
      </w:pPr>
      <w:r>
        <w:rPr>
          <w:rFonts w:ascii="Arial" w:cs="Arial" w:eastAsia="Arial" w:hAnsi="Arial"/>
          <w:b w:val="false"/>
          <w:bCs w:val="false"/>
          <w:color w:val="1A1A1A"/>
          <w:sz w:val="19"/>
          <w:szCs w:val="19"/>
        </w:rPr>
        <w:t xml:space="preserve">  6.0</w:t>
      </w:r>
      <w:r>
        <w:rPr>
          <w:rFonts w:ascii="Arial" w:cs="Arial" w:eastAsia="Arial" w:hAnsi="Arial"/>
          <w:color w:val="1A1A1A"/>
          <w:sz w:val="19"/>
          <w:szCs w:val="19"/>
        </w:rPr>
        <w:t xml:space="preserve">    Outcomes</w:t>
      </w:r>
      <w:r>
        <w:rPr>
          <w:rFonts w:ascii="Arial" w:cs="Arial" w:eastAsia="Arial" w:hAnsi="Arial"/>
          <w:color w:val="7F8C9A"/>
          <w:sz w:val="19"/>
          <w:szCs w:val="19"/>
        </w:rPr>
        <w:t xml:space="preserve">	5</w:t>
      </w:r>
    </w:p>
    <w:p>
      <w:pPr>
        <w:tabs>
          <w:tab w:val="right" w:pos="9000"/>
        </w:tabs>
        <w:spacing w:before="40" w:after="40"/>
      </w:pPr>
      <w:r>
        <w:rPr>
          <w:rFonts w:ascii="Arial" w:cs="Arial" w:eastAsia="Arial" w:hAnsi="Arial"/>
          <w:b w:val="false"/>
          <w:bCs w:val="false"/>
          <w:color w:val="1A1A1A"/>
          <w:sz w:val="19"/>
          <w:szCs w:val="19"/>
        </w:rPr>
        <w:t xml:space="preserve">  7.0</w:t>
      </w:r>
      <w:r>
        <w:rPr>
          <w:rFonts w:ascii="Arial" w:cs="Arial" w:eastAsia="Arial" w:hAnsi="Arial"/>
          <w:color w:val="1A1A1A"/>
          <w:sz w:val="19"/>
          <w:szCs w:val="19"/>
        </w:rPr>
        <w:t xml:space="preserve">    Statistical Analysis Methods</w:t>
      </w:r>
      <w:r>
        <w:rPr>
          <w:rFonts w:ascii="Arial" w:cs="Arial" w:eastAsia="Arial" w:hAnsi="Arial"/>
          <w:color w:val="7F8C9A"/>
          <w:sz w:val="19"/>
          <w:szCs w:val="19"/>
        </w:rPr>
        <w:t xml:space="preserve">	6</w:t>
      </w:r>
    </w:p>
    <w:p>
      <w:pPr>
        <w:tabs>
          <w:tab w:val="right" w:pos="9000"/>
        </w:tabs>
        <w:spacing w:before="40" w:after="40"/>
      </w:pPr>
      <w:r>
        <w:rPr>
          <w:rFonts w:ascii="Arial" w:cs="Arial" w:eastAsia="Arial" w:hAnsi="Arial"/>
          <w:b w:val="false"/>
          <w:bCs w:val="false"/>
          <w:color w:val="1A1A1A"/>
          <w:sz w:val="19"/>
          <w:szCs w:val="19"/>
        </w:rPr>
        <w:t xml:space="preserve">  8.0</w:t>
      </w:r>
      <w:r>
        <w:rPr>
          <w:rFonts w:ascii="Arial" w:cs="Arial" w:eastAsia="Arial" w:hAnsi="Arial"/>
          <w:color w:val="1A1A1A"/>
          <w:sz w:val="19"/>
          <w:szCs w:val="19"/>
        </w:rPr>
        <w:t xml:space="preserve">    Bias Mitigation and Sensitivity Analyses</w:t>
      </w:r>
      <w:r>
        <w:rPr>
          <w:rFonts w:ascii="Arial" w:cs="Arial" w:eastAsia="Arial" w:hAnsi="Arial"/>
          <w:color w:val="7F8C9A"/>
          <w:sz w:val="19"/>
          <w:szCs w:val="19"/>
        </w:rPr>
        <w:t xml:space="preserve">	6</w:t>
      </w:r>
    </w:p>
    <w:p>
      <w:pPr>
        <w:tabs>
          <w:tab w:val="right" w:pos="9000"/>
        </w:tabs>
        <w:spacing w:before="40" w:after="40"/>
      </w:pPr>
      <w:r>
        <w:rPr>
          <w:rFonts w:ascii="Arial" w:cs="Arial" w:eastAsia="Arial" w:hAnsi="Arial"/>
          <w:b w:val="false"/>
          <w:bCs w:val="false"/>
          <w:color w:val="1A1A1A"/>
          <w:sz w:val="19"/>
          <w:szCs w:val="19"/>
        </w:rPr>
        <w:t xml:space="preserve">  9.0</w:t>
      </w:r>
      <w:r>
        <w:rPr>
          <w:rFonts w:ascii="Arial" w:cs="Arial" w:eastAsia="Arial" w:hAnsi="Arial"/>
          <w:color w:val="1A1A1A"/>
          <w:sz w:val="19"/>
          <w:szCs w:val="19"/>
        </w:rPr>
        <w:t xml:space="preserve">    Data Governance and Quality</w:t>
      </w:r>
      <w:r>
        <w:rPr>
          <w:rFonts w:ascii="Arial" w:cs="Arial" w:eastAsia="Arial" w:hAnsi="Arial"/>
          <w:color w:val="7F8C9A"/>
          <w:sz w:val="19"/>
          <w:szCs w:val="19"/>
        </w:rPr>
        <w:t xml:space="preserve">	7</w:t>
      </w:r>
    </w:p>
    <w:p>
      <w:pPr>
        <w:tabs>
          <w:tab w:val="right" w:pos="9000"/>
        </w:tabs>
        <w:spacing w:before="40" w:after="40"/>
      </w:pPr>
      <w:r>
        <w:rPr>
          <w:rFonts w:ascii="Arial" w:cs="Arial" w:eastAsia="Arial" w:hAnsi="Arial"/>
          <w:b w:val="false"/>
          <w:bCs w:val="false"/>
          <w:color w:val="1A1A1A"/>
          <w:sz w:val="19"/>
          <w:szCs w:val="19"/>
        </w:rPr>
        <w:t xml:space="preserve">  10.0</w:t>
      </w:r>
      <w:r>
        <w:rPr>
          <w:rFonts w:ascii="Arial" w:cs="Arial" w:eastAsia="Arial" w:hAnsi="Arial"/>
          <w:color w:val="1A1A1A"/>
          <w:sz w:val="19"/>
          <w:szCs w:val="19"/>
        </w:rPr>
        <w:t xml:space="preserve">    Reporting and Dissemination</w:t>
      </w:r>
      <w:r>
        <w:rPr>
          <w:rFonts w:ascii="Arial" w:cs="Arial" w:eastAsia="Arial" w:hAnsi="Arial"/>
          <w:color w:val="7F8C9A"/>
          <w:sz w:val="19"/>
          <w:szCs w:val="19"/>
        </w:rPr>
        <w:t xml:space="preserve">	7</w:t>
      </w:r>
    </w:p>
    <w:p>
      <w:pPr>
        <w:tabs>
          <w:tab w:val="right" w:pos="9000"/>
        </w:tabs>
        <w:spacing w:before="40" w:after="40"/>
      </w:pPr>
      <w:r>
        <w:rPr>
          <w:rFonts w:ascii="Arial" w:cs="Arial" w:eastAsia="Arial" w:hAnsi="Arial"/>
          <w:b/>
          <w:bCs/>
          <w:color w:val="1B3A5C"/>
          <w:sz w:val="19"/>
          <w:szCs w:val="19"/>
        </w:rPr>
        <w:t xml:space="preserve">DOCUMENT II</w:t>
      </w:r>
      <w:r>
        <w:rPr>
          <w:rFonts w:ascii="Arial" w:cs="Arial" w:eastAsia="Arial" w:hAnsi="Arial"/>
          <w:color w:val="1B3A5C"/>
          <w:sz w:val="19"/>
          <w:szCs w:val="19"/>
        </w:rPr>
        <w:t xml:space="preserve">    RWE Study Protocols</w:t>
      </w:r>
      <w:r>
        <w:rPr>
          <w:rFonts w:ascii="Arial" w:cs="Arial" w:eastAsia="Arial" w:hAnsi="Arial"/>
          <w:color w:val="7F8C9A"/>
          <w:sz w:val="19"/>
          <w:szCs w:val="19"/>
        </w:rPr>
        <w:t xml:space="preserve">	8</w:t>
      </w:r>
    </w:p>
    <w:p>
      <w:pPr>
        <w:tabs>
          <w:tab w:val="right" w:pos="9000"/>
        </w:tabs>
        <w:spacing w:before="40" w:after="40"/>
      </w:pPr>
      <w:r>
        <w:rPr>
          <w:rFonts w:ascii="Arial" w:cs="Arial" w:eastAsia="Arial" w:hAnsi="Arial"/>
          <w:b/>
          <w:bCs/>
          <w:color w:val="1A1A1A"/>
          <w:sz w:val="19"/>
          <w:szCs w:val="19"/>
        </w:rPr>
        <w:t xml:space="preserve">  RWE-01</w:t>
      </w:r>
      <w:r>
        <w:rPr>
          <w:rFonts w:ascii="Arial" w:cs="Arial" w:eastAsia="Arial" w:hAnsi="Arial"/>
          <w:color w:val="1A1A1A"/>
          <w:sz w:val="19"/>
          <w:szCs w:val="19"/>
        </w:rPr>
        <w:t xml:space="preserve">    Comparative Effectiveness in Real-World dMMR/MSI-H mCRC</w:t>
      </w:r>
      <w:r>
        <w:rPr>
          <w:rFonts w:ascii="Arial" w:cs="Arial" w:eastAsia="Arial" w:hAnsi="Arial"/>
          <w:color w:val="7F8C9A"/>
          <w:sz w:val="19"/>
          <w:szCs w:val="19"/>
        </w:rPr>
        <w:t xml:space="preserve">	8</w:t>
      </w:r>
    </w:p>
    <w:p>
      <w:pPr>
        <w:tabs>
          <w:tab w:val="right" w:pos="9000"/>
        </w:tabs>
        <w:spacing w:before="40" w:after="40"/>
      </w:pPr>
      <w:r>
        <w:rPr>
          <w:rFonts w:ascii="Arial" w:cs="Arial" w:eastAsia="Arial" w:hAnsi="Arial"/>
          <w:b/>
          <w:bCs/>
          <w:color w:val="1A1A1A"/>
          <w:sz w:val="19"/>
          <w:szCs w:val="19"/>
        </w:rPr>
        <w:t xml:space="preserve">  RWE-02</w:t>
      </w:r>
      <w:r>
        <w:rPr>
          <w:rFonts w:ascii="Arial" w:cs="Arial" w:eastAsia="Arial" w:hAnsi="Arial"/>
          <w:color w:val="1A1A1A"/>
          <w:sz w:val="19"/>
          <w:szCs w:val="19"/>
        </w:rPr>
        <w:t xml:space="preserve">    Long-Term Safety Registry</w:t>
      </w:r>
      <w:r>
        <w:rPr>
          <w:rFonts w:ascii="Arial" w:cs="Arial" w:eastAsia="Arial" w:hAnsi="Arial"/>
          <w:color w:val="7F8C9A"/>
          <w:sz w:val="19"/>
          <w:szCs w:val="19"/>
        </w:rPr>
        <w:t xml:space="preserve">	14</w:t>
      </w:r>
    </w:p>
    <w:p>
      <w:pPr>
        <w:tabs>
          <w:tab w:val="right" w:pos="9000"/>
        </w:tabs>
        <w:spacing w:before="40" w:after="40"/>
      </w:pPr>
      <w:r>
        <w:rPr>
          <w:rFonts w:ascii="Arial" w:cs="Arial" w:eastAsia="Arial" w:hAnsi="Arial"/>
          <w:b/>
          <w:bCs/>
          <w:color w:val="1A1A1A"/>
          <w:sz w:val="19"/>
          <w:szCs w:val="19"/>
        </w:rPr>
        <w:t xml:space="preserve">  RWE-03</w:t>
      </w:r>
      <w:r>
        <w:rPr>
          <w:rFonts w:ascii="Arial" w:cs="Arial" w:eastAsia="Arial" w:hAnsi="Arial"/>
          <w:color w:val="1A1A1A"/>
          <w:sz w:val="19"/>
          <w:szCs w:val="19"/>
        </w:rPr>
        <w:t xml:space="preserve">    Healthcare Resource Utilization and Patient-Reported Outcomes</w:t>
      </w:r>
      <w:r>
        <w:rPr>
          <w:rFonts w:ascii="Arial" w:cs="Arial" w:eastAsia="Arial" w:hAnsi="Arial"/>
          <w:color w:val="7F8C9A"/>
          <w:sz w:val="19"/>
          <w:szCs w:val="19"/>
        </w:rPr>
        <w:t xml:space="preserve">	19</w:t>
      </w:r>
    </w:p>
    <w:p>
      <w:pPr>
        <w:tabs>
          <w:tab w:val="right" w:pos="9000"/>
        </w:tabs>
        <w:spacing w:before="40" w:after="40"/>
      </w:pPr>
      <w:r>
        <w:rPr>
          <w:rFonts w:ascii="Arial" w:cs="Arial" w:eastAsia="Arial" w:hAnsi="Arial"/>
          <w:b/>
          <w:bCs/>
          <w:color w:val="1B3A5C"/>
          <w:sz w:val="19"/>
          <w:szCs w:val="19"/>
        </w:rPr>
        <w:t xml:space="preserve">DOCUMENT III</w:t>
      </w:r>
      <w:r>
        <w:rPr>
          <w:rFonts w:ascii="Arial" w:cs="Arial" w:eastAsia="Arial" w:hAnsi="Arial"/>
          <w:color w:val="1B3A5C"/>
          <w:sz w:val="19"/>
          <w:szCs w:val="19"/>
        </w:rPr>
        <w:t xml:space="preserve">    Data Use Agreement</w:t>
      </w:r>
      <w:r>
        <w:rPr>
          <w:rFonts w:ascii="Arial" w:cs="Arial" w:eastAsia="Arial" w:hAnsi="Arial"/>
          <w:color w:val="7F8C9A"/>
          <w:sz w:val="19"/>
          <w:szCs w:val="19"/>
        </w:rPr>
        <w:t xml:space="preserve">	24</w:t>
      </w:r>
    </w:p>
    <w:p>
      <w:pPr>
        <w:tabs>
          <w:tab w:val="right" w:pos="9000"/>
        </w:tabs>
        <w:spacing w:before="40" w:after="40"/>
      </w:pPr>
      <w:r>
        <w:rPr>
          <w:rFonts w:ascii="Arial" w:cs="Arial" w:eastAsia="Arial" w:hAnsi="Arial"/>
          <w:b/>
          <w:bCs/>
          <w:color w:val="1B3A5C"/>
          <w:sz w:val="19"/>
          <w:szCs w:val="19"/>
        </w:rPr>
        <w:t xml:space="preserve">DOCUMENT IV</w:t>
      </w:r>
      <w:r>
        <w:rPr>
          <w:rFonts w:ascii="Arial" w:cs="Arial" w:eastAsia="Arial" w:hAnsi="Arial"/>
          <w:color w:val="1B3A5C"/>
          <w:sz w:val="19"/>
          <w:szCs w:val="19"/>
        </w:rPr>
        <w:t xml:space="preserve">    IRB/Ethics Committee Approval — Protocol Submission</w:t>
      </w:r>
      <w:r>
        <w:rPr>
          <w:rFonts w:ascii="Arial" w:cs="Arial" w:eastAsia="Arial" w:hAnsi="Arial"/>
          <w:color w:val="7F8C9A"/>
          <w:sz w:val="19"/>
          <w:szCs w:val="19"/>
        </w:rPr>
        <w:t xml:space="preserve">	28</w:t>
      </w:r>
    </w:p>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00" w:after="100" w:line="276"/>
        <w:jc w:val="both"/>
      </w:pPr>
      <w:r>
        <w:rPr>
          <w:rFonts w:ascii="Arial" w:cs="Arial" w:eastAsia="Arial" w:hAnsi="Arial"/>
          <w:b w:val="false"/>
          <w:bCs w:val="false"/>
          <w:i/>
          <w:iCs/>
          <w:color w:val="7F8C9A"/>
          <w:sz w:val="16"/>
          <w:szCs w:val="16"/>
        </w:rPr>
        <w:t xml:space="preserve">Note: Page numbers are approximate and intended for navigation. Final pagination will be confirmed upon document finalization.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DOCUMENT I — REAL-WORLD DATA ANALYSIS PLAN (RWD-AP)</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Real-World Data Analysis Plan for Post-Marketing Evaluation of Cervimab (CVM-101)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RWD Analysis Plan (RWD-AP)</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Protocol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CERV-RWD-AP-001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Version /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Version 1.0  |  March 2026</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Regulatory Basis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 CFR 312.85; FDA RWE Framework (2018); FDA RWD Guidance (2023)</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1.0  Background and Rationale</w:t>
      </w:r>
    </w:p>
    <w:p>
      <w:pPr>
        <w:spacing w:before="60" w:after="60" w:line="276"/>
        <w:jc w:val="both"/>
      </w:pPr>
      <w:r>
        <w:rPr>
          <w:rFonts w:ascii="Arial" w:cs="Arial" w:eastAsia="Arial" w:hAnsi="Arial"/>
          <w:b w:val="false"/>
          <w:bCs w:val="false"/>
          <w:i w:val="false"/>
          <w:iCs w:val="false"/>
          <w:color w:val="1A1A1A"/>
          <w:sz w:val="19"/>
          <w:szCs w:val="19"/>
        </w:rPr>
        <w:t xml:space="preserve">Cervimab (CVM-101) is a humanized immunoglobulin G4 (IgG4) anti-programmed cell death protein 1 (PD-1) monoclonal antibody approved for the treatment of adult patients with unresectable or metastatic colorectal cancer (mCRC) harboring deficient mismatch repair (dMMR) or microsatellite instability-high (MSI-H) tumors. Approval was based on randomized controlled trial (RCT) evidence demonstrating superiority over chemotherapy with respect to progression-free survival (PFS) and overall survival (OS).</w:t>
      </w:r>
    </w:p>
    <w:p>
      <w:pPr>
        <w:spacing w:before="60" w:after="60" w:line="276"/>
        <w:jc w:val="both"/>
      </w:pPr>
      <w:r>
        <w:rPr>
          <w:rFonts w:ascii="Arial" w:cs="Arial" w:eastAsia="Arial" w:hAnsi="Arial"/>
          <w:b w:val="false"/>
          <w:bCs w:val="false"/>
          <w:i w:val="false"/>
          <w:iCs w:val="false"/>
          <w:color w:val="1A1A1A"/>
          <w:sz w:val="19"/>
          <w:szCs w:val="19"/>
        </w:rPr>
        <w:t xml:space="preserve">Post-marketing real-world data (RWD) are essential to characterize the comparative effectiveness and safety of Cervimab in populations underrepresented in pivotal trials, including elderly patients (≥75 years), patients with Eastern Cooperative Oncology Group (ECOG) performance status ≥2, patients with concurrent autoimmune disease managed on immunosuppression, and those with KRAS/NRAS/BRAF co-mutations. This analysis plan governs all post-launch RWD studies conducted by Veridian Oncology, Inc. or its authorized research partners.</w:t>
      </w:r>
    </w:p>
    <w:p>
      <w:pPr>
        <w:spacing w:before="60" w:after="60" w:line="276"/>
        <w:jc w:val="both"/>
      </w:pPr>
      <w:r>
        <w:rPr>
          <w:rFonts w:ascii="Arial" w:cs="Arial" w:eastAsia="Arial" w:hAnsi="Arial"/>
          <w:b w:val="false"/>
          <w:bCs w:val="false"/>
          <w:i w:val="false"/>
          <w:iCs w:val="false"/>
          <w:color w:val="1A1A1A"/>
          <w:sz w:val="19"/>
          <w:szCs w:val="19"/>
        </w:rPr>
        <w:t xml:space="preserve">This plan has been developed consistent with FDA guidance on Submitting Documents Using Real-World Data and Real-World Evidence to the FDA for Drugs and Biologics (2023), FDA Framework for FDA's Real-World Evidence Program (2018), FDA guidance on Real-World Data: Assessing Electronic Health Records and Medical Claims Data to Support Regulatory Decision-Making (2021), and ICH E9(R1) Addendum on Estimands and Sensitivity Analysis.</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2.0  Study Objectives and Research Questions</w:t>
      </w:r>
    </w:p>
    <w:p>
      <w:pPr>
        <w:pStyle w:val="Heading3"/>
        <w:spacing w:before="160" w:after="80" w:line="276"/>
        <w:jc w:val="both"/>
      </w:pPr>
      <w:r>
        <w:rPr>
          <w:rFonts w:ascii="Arial" w:cs="Arial" w:eastAsia="Arial" w:hAnsi="Arial"/>
          <w:b/>
          <w:bCs/>
          <w:color w:val="2E6DA4"/>
          <w:sz w:val="20"/>
          <w:szCs w:val="20"/>
        </w:rPr>
        <w:t xml:space="preserve">2.1  Primary Objectives</w:t>
      </w:r>
    </w:p>
    <w:p>
      <w:pPr>
        <w:pStyle w:val="ListParagraph"/>
        <w:numPr>
          <w:ilvl w:val="0"/>
          <w:numId w:val="2"/>
        </w:numPr>
        <w:spacing w:before="60" w:after="60"/>
      </w:pPr>
      <w:r>
        <w:rPr>
          <w:rFonts w:ascii="Arial" w:cs="Arial" w:eastAsia="Arial" w:hAnsi="Arial"/>
          <w:color w:val="1A1A1A"/>
          <w:sz w:val="19"/>
          <w:szCs w:val="19"/>
        </w:rPr>
        <w:t xml:space="preserve">Assess the comparative effectiveness of Cervimab versus standard-of-care systemic therapies (pembrolizumab, FOLFOX-based regimens, FOLFIRI-based regimens, TAS-102, regorafenib) in patients with dMMR/MSI-H mCRC in routine clinical practice.</w:t>
      </w:r>
    </w:p>
    <w:p>
      <w:pPr>
        <w:pStyle w:val="ListParagraph"/>
        <w:numPr>
          <w:ilvl w:val="0"/>
          <w:numId w:val="2"/>
        </w:numPr>
        <w:spacing w:before="60" w:after="60"/>
      </w:pPr>
      <w:r>
        <w:rPr>
          <w:rFonts w:ascii="Arial" w:cs="Arial" w:eastAsia="Arial" w:hAnsi="Arial"/>
          <w:color w:val="1A1A1A"/>
          <w:sz w:val="19"/>
          <w:szCs w:val="19"/>
        </w:rPr>
        <w:t xml:space="preserve">Characterize the real-world safety profile of Cervimab with particular emphasis on immune-mediated adverse events (imAEs) of special interest, including immune-mediated colitis, pneumonitis, hepatitis, endocrinopathies, and severe cutaneous reactions.</w:t>
      </w:r>
    </w:p>
    <w:p>
      <w:pPr>
        <w:pStyle w:val="ListParagraph"/>
        <w:numPr>
          <w:ilvl w:val="0"/>
          <w:numId w:val="2"/>
        </w:numPr>
        <w:spacing w:before="60" w:after="60"/>
      </w:pPr>
      <w:r>
        <w:rPr>
          <w:rFonts w:ascii="Arial" w:cs="Arial" w:eastAsia="Arial" w:hAnsi="Arial"/>
          <w:color w:val="1A1A1A"/>
          <w:sz w:val="19"/>
          <w:szCs w:val="19"/>
        </w:rPr>
        <w:t xml:space="preserve">Estimate healthcare resource utilization (HCRU) and associated direct medical costs in commercially insured and Medicare populations receiving Cervimab versus comparators.</w:t>
      </w:r>
    </w:p>
    <w:p>
      <w:pPr>
        <w:pStyle w:val="Heading3"/>
        <w:spacing w:before="160" w:after="80" w:line="276"/>
        <w:jc w:val="both"/>
      </w:pPr>
      <w:r>
        <w:rPr>
          <w:rFonts w:ascii="Arial" w:cs="Arial" w:eastAsia="Arial" w:hAnsi="Arial"/>
          <w:b/>
          <w:bCs/>
          <w:color w:val="2E6DA4"/>
          <w:sz w:val="20"/>
          <w:szCs w:val="20"/>
        </w:rPr>
        <w:t xml:space="preserve">2.2  Secondary Objectives</w:t>
      </w:r>
    </w:p>
    <w:p>
      <w:pPr>
        <w:pStyle w:val="ListParagraph"/>
        <w:numPr>
          <w:ilvl w:val="0"/>
          <w:numId w:val="2"/>
        </w:numPr>
        <w:spacing w:before="60" w:after="60"/>
      </w:pPr>
      <w:r>
        <w:rPr>
          <w:rFonts w:ascii="Arial" w:cs="Arial" w:eastAsia="Arial" w:hAnsi="Arial"/>
          <w:color w:val="1A1A1A"/>
          <w:sz w:val="19"/>
          <w:szCs w:val="19"/>
        </w:rPr>
        <w:t xml:space="preserve">Evaluate overall survival (OS), real-world progression-free survival (rwPFS), time to next treatment (TTNT), and duration of response (DoR) in real-world settings.</w:t>
      </w:r>
    </w:p>
    <w:p>
      <w:pPr>
        <w:pStyle w:val="ListParagraph"/>
        <w:numPr>
          <w:ilvl w:val="0"/>
          <w:numId w:val="2"/>
        </w:numPr>
        <w:spacing w:before="60" w:after="60"/>
      </w:pPr>
      <w:r>
        <w:rPr>
          <w:rFonts w:ascii="Arial" w:cs="Arial" w:eastAsia="Arial" w:hAnsi="Arial"/>
          <w:color w:val="1A1A1A"/>
          <w:sz w:val="19"/>
          <w:szCs w:val="19"/>
        </w:rPr>
        <w:t xml:space="preserve">Characterize treatment patterns including treatment sequencing, dose modifications (delays, reductions), concurrent corticosteroid use for imAE management, and reasons for discontinuation.</w:t>
      </w:r>
    </w:p>
    <w:p>
      <w:pPr>
        <w:pStyle w:val="ListParagraph"/>
        <w:numPr>
          <w:ilvl w:val="0"/>
          <w:numId w:val="2"/>
        </w:numPr>
        <w:spacing w:before="60" w:after="60"/>
      </w:pPr>
      <w:r>
        <w:rPr>
          <w:rFonts w:ascii="Arial" w:cs="Arial" w:eastAsia="Arial" w:hAnsi="Arial"/>
          <w:color w:val="1A1A1A"/>
          <w:sz w:val="19"/>
          <w:szCs w:val="19"/>
        </w:rPr>
        <w:t xml:space="preserve">Assess patient-reported outcome (PRO) domains including health-related quality of life (HRQoL) using FACT-C and EQ-5D-5L in registry substudy populations.</w:t>
      </w:r>
    </w:p>
    <w:p>
      <w:pPr>
        <w:pStyle w:val="ListParagraph"/>
        <w:numPr>
          <w:ilvl w:val="0"/>
          <w:numId w:val="2"/>
        </w:numPr>
        <w:spacing w:before="60" w:after="60"/>
      </w:pPr>
      <w:r>
        <w:rPr>
          <w:rFonts w:ascii="Arial" w:cs="Arial" w:eastAsia="Arial" w:hAnsi="Arial"/>
          <w:color w:val="1A1A1A"/>
          <w:sz w:val="19"/>
          <w:szCs w:val="19"/>
        </w:rPr>
        <w:t xml:space="preserve">Examine outcomes in pre-specified subgroups: age ≥75, ECOG PS 2–3, concurrent autoimmune disease, Lynch syndrome versus sporadic MSI-H, right-sided versus left-sided primary, hepatic metastases, prior anti-VEGF/EGFR exposure.</w:t>
      </w:r>
    </w:p>
    <w:p>
      <w:pPr>
        <w:pStyle w:val="Heading3"/>
        <w:spacing w:before="160" w:after="80" w:line="276"/>
        <w:jc w:val="both"/>
      </w:pPr>
      <w:r>
        <w:rPr>
          <w:rFonts w:ascii="Arial" w:cs="Arial" w:eastAsia="Arial" w:hAnsi="Arial"/>
          <w:b/>
          <w:bCs/>
          <w:color w:val="2E6DA4"/>
          <w:sz w:val="20"/>
          <w:szCs w:val="20"/>
        </w:rPr>
        <w:t xml:space="preserve">2.3  Exploratory Objectives</w:t>
      </w:r>
    </w:p>
    <w:p>
      <w:pPr>
        <w:pStyle w:val="ListParagraph"/>
        <w:numPr>
          <w:ilvl w:val="0"/>
          <w:numId w:val="2"/>
        </w:numPr>
        <w:spacing w:before="60" w:after="60"/>
      </w:pPr>
      <w:r>
        <w:rPr>
          <w:rFonts w:ascii="Arial" w:cs="Arial" w:eastAsia="Arial" w:hAnsi="Arial"/>
          <w:color w:val="1A1A1A"/>
          <w:sz w:val="19"/>
          <w:szCs w:val="19"/>
        </w:rPr>
        <w:t xml:space="preserve">Explore potential predictive biomarkers of response and toxicity including tumor mutational burden (TMB), PD-L1 combined positive score (CPS), co-mutation status (BRAF V600E, PIK3CA), and circulating tumor DNA (ctDNA) dynamics where data are available.</w:t>
      </w:r>
    </w:p>
    <w:p>
      <w:pPr>
        <w:pStyle w:val="ListParagraph"/>
        <w:numPr>
          <w:ilvl w:val="0"/>
          <w:numId w:val="2"/>
        </w:numPr>
        <w:spacing w:before="60" w:after="60"/>
      </w:pPr>
      <w:r>
        <w:rPr>
          <w:rFonts w:ascii="Arial" w:cs="Arial" w:eastAsia="Arial" w:hAnsi="Arial"/>
          <w:color w:val="1A1A1A"/>
          <w:sz w:val="19"/>
          <w:szCs w:val="19"/>
        </w:rPr>
        <w:t xml:space="preserve">Examine adherence patterns and factors associated with early discontinuation (within 6 months) in real-world populations.</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3.0  Data Sources</w:t>
      </w:r>
    </w:p>
    <w:p>
      <w:pPr>
        <w:spacing w:before="60" w:after="60" w:line="276"/>
        <w:jc w:val="both"/>
      </w:pPr>
      <w:r>
        <w:rPr>
          <w:rFonts w:ascii="Arial" w:cs="Arial" w:eastAsia="Arial" w:hAnsi="Arial"/>
          <w:b w:val="false"/>
          <w:bCs w:val="false"/>
          <w:i w:val="false"/>
          <w:iCs w:val="false"/>
          <w:color w:val="1A1A1A"/>
          <w:sz w:val="19"/>
          <w:szCs w:val="19"/>
        </w:rPr>
        <w:t xml:space="preserve">A federated, multi-database design will be employed to maximize sample size, generalizability, and representativeness. Data sources must satisfy FDA criteria for RWD fitness-for-purpose, including data provenance, completeness, accuracy, and availability of outcome data.</w:t>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2560"/>
        <w:gridCol w:w="13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Source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Population</w:t>
            </w:r>
          </w:p>
        </w:tc>
        <w:tc>
          <w:tcPr>
            <w:tcW w:type="dxa" w:w="2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Variables</w:t>
            </w:r>
          </w:p>
        </w:tc>
        <w:tc>
          <w:tcPr>
            <w:tcW w:type="dxa" w:w="1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 Horizon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Flatiron Health Oncology Network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EHR-derived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 community + academic oncology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Diagnosis, staging, lab, treatment, mortality linkage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2025–ongoing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CMS Medicare Fee-for-Service Claims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Administrative claims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 Medicare ≥65 beneficiaries</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Inpatient/outpatient claims, pharmacy, mortality</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2025–ongoing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IBM MarketScan Commercial Claims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Administrative 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Commercially insured US adults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Medical/Rx claims, HCRU, costs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2025–ongoing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SEER-Medicare Linkage</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Cancer registry + claims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Medicare cancer patients</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Tumor characteristics, treatment, survival</w:t>
            </w:r>
          </w:p>
        </w:tc>
        <w:tc>
          <w:tcPr>
            <w:tcW w:type="dxa" w:w="13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2025–ongoing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CERV-REG Prospective Registry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Sponsor-sponsored registry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Cervimab-treated patients (RWE-02)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PROs, biomarkers, safety, survival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2025–2030</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4.0  Study Population</w:t>
      </w:r>
    </w:p>
    <w:p>
      <w:pPr>
        <w:pStyle w:val="Heading3"/>
        <w:spacing w:before="160" w:after="80" w:line="276"/>
        <w:jc w:val="both"/>
      </w:pPr>
      <w:r>
        <w:rPr>
          <w:rFonts w:ascii="Arial" w:cs="Arial" w:eastAsia="Arial" w:hAnsi="Arial"/>
          <w:b/>
          <w:bCs/>
          <w:color w:val="2E6DA4"/>
          <w:sz w:val="20"/>
          <w:szCs w:val="20"/>
        </w:rPr>
        <w:t xml:space="preserve">4.1  Eligible Population</w:t>
      </w:r>
    </w:p>
    <w:p>
      <w:pPr>
        <w:pStyle w:val="ListParagraph"/>
        <w:numPr>
          <w:ilvl w:val="0"/>
          <w:numId w:val="2"/>
        </w:numPr>
        <w:spacing w:before="60" w:after="60"/>
      </w:pPr>
      <w:r>
        <w:rPr>
          <w:rFonts w:ascii="Arial" w:cs="Arial" w:eastAsia="Arial" w:hAnsi="Arial"/>
          <w:color w:val="1A1A1A"/>
          <w:sz w:val="19"/>
          <w:szCs w:val="19"/>
        </w:rPr>
        <w:t xml:space="preserve">Adult patients (≥18 years) with a confirmed diagnosis of unresectable or metastatic CRC documented by ICD-10-CM codes C18.0–C20, C26.0.</w:t>
      </w:r>
    </w:p>
    <w:p>
      <w:pPr>
        <w:pStyle w:val="ListParagraph"/>
        <w:numPr>
          <w:ilvl w:val="0"/>
          <w:numId w:val="2"/>
        </w:numPr>
        <w:spacing w:before="60" w:after="60"/>
      </w:pPr>
      <w:r>
        <w:rPr>
          <w:rFonts w:ascii="Arial" w:cs="Arial" w:eastAsia="Arial" w:hAnsi="Arial"/>
          <w:color w:val="1A1A1A"/>
          <w:sz w:val="19"/>
          <w:szCs w:val="19"/>
        </w:rPr>
        <w:t xml:space="preserve">Evidence of dMMR/MSI-H tumor status by IHC (loss of MLH1, MSH2, MSH6, or PMS2) or PCR/NGS-based MSI testing.</w:t>
      </w:r>
    </w:p>
    <w:p>
      <w:pPr>
        <w:pStyle w:val="ListParagraph"/>
        <w:numPr>
          <w:ilvl w:val="0"/>
          <w:numId w:val="2"/>
        </w:numPr>
        <w:spacing w:before="60" w:after="60"/>
      </w:pPr>
      <w:r>
        <w:rPr>
          <w:rFonts w:ascii="Arial" w:cs="Arial" w:eastAsia="Arial" w:hAnsi="Arial"/>
          <w:color w:val="1A1A1A"/>
          <w:sz w:val="19"/>
          <w:szCs w:val="19"/>
        </w:rPr>
        <w:t xml:space="preserve">Initiation of Cervimab (CVM-101) or specified comparator therapy on or after the Cervimab US approval date.</w:t>
      </w:r>
    </w:p>
    <w:p>
      <w:pPr>
        <w:pStyle w:val="ListParagraph"/>
        <w:numPr>
          <w:ilvl w:val="0"/>
          <w:numId w:val="2"/>
        </w:numPr>
        <w:spacing w:before="60" w:after="60"/>
      </w:pPr>
      <w:r>
        <w:rPr>
          <w:rFonts w:ascii="Arial" w:cs="Arial" w:eastAsia="Arial" w:hAnsi="Arial"/>
          <w:color w:val="1A1A1A"/>
          <w:sz w:val="19"/>
          <w:szCs w:val="19"/>
        </w:rPr>
        <w:t xml:space="preserve">Minimum 6-month enrollment/activity prior to index date (EHR-based studies) or 12-month continuous enrollment (claims-based studies).</w:t>
      </w:r>
    </w:p>
    <w:p>
      <w:pPr>
        <w:pStyle w:val="Heading3"/>
        <w:spacing w:before="160" w:after="80" w:line="276"/>
        <w:jc w:val="both"/>
      </w:pPr>
      <w:r>
        <w:rPr>
          <w:rFonts w:ascii="Arial" w:cs="Arial" w:eastAsia="Arial" w:hAnsi="Arial"/>
          <w:b/>
          <w:bCs/>
          <w:color w:val="2E6DA4"/>
          <w:sz w:val="20"/>
          <w:szCs w:val="20"/>
        </w:rPr>
        <w:t xml:space="preserve">4.2  Exclusion Criteria</w:t>
      </w:r>
    </w:p>
    <w:p>
      <w:pPr>
        <w:pStyle w:val="ListParagraph"/>
        <w:numPr>
          <w:ilvl w:val="0"/>
          <w:numId w:val="2"/>
        </w:numPr>
        <w:spacing w:before="60" w:after="60"/>
      </w:pPr>
      <w:r>
        <w:rPr>
          <w:rFonts w:ascii="Arial" w:cs="Arial" w:eastAsia="Arial" w:hAnsi="Arial"/>
          <w:color w:val="1A1A1A"/>
          <w:sz w:val="19"/>
          <w:szCs w:val="19"/>
        </w:rPr>
        <w:t xml:space="preserve">Concurrent enrollment in interventional clinical trials that could confound outcome ascertainment.</w:t>
      </w:r>
    </w:p>
    <w:p>
      <w:pPr>
        <w:pStyle w:val="ListParagraph"/>
        <w:numPr>
          <w:ilvl w:val="0"/>
          <w:numId w:val="2"/>
        </w:numPr>
        <w:spacing w:before="60" w:after="60"/>
      </w:pPr>
      <w:r>
        <w:rPr>
          <w:rFonts w:ascii="Arial" w:cs="Arial" w:eastAsia="Arial" w:hAnsi="Arial"/>
          <w:color w:val="1A1A1A"/>
          <w:sz w:val="19"/>
          <w:szCs w:val="19"/>
        </w:rPr>
        <w:t xml:space="preserve">Prior treatment with any PD-1/PD-L1/CTLA-4 checkpoint inhibitor within 12 months before index date (for new-user analyses only; separate prevalent-user sensitivity analyses will be conducted).</w:t>
      </w:r>
    </w:p>
    <w:p>
      <w:pPr>
        <w:pStyle w:val="ListParagraph"/>
        <w:numPr>
          <w:ilvl w:val="0"/>
          <w:numId w:val="2"/>
        </w:numPr>
        <w:spacing w:before="60" w:after="60"/>
      </w:pPr>
      <w:r>
        <w:rPr>
          <w:rFonts w:ascii="Arial" w:cs="Arial" w:eastAsia="Arial" w:hAnsi="Arial"/>
          <w:color w:val="1A1A1A"/>
          <w:sz w:val="19"/>
          <w:szCs w:val="19"/>
        </w:rPr>
        <w:t xml:space="preserve">Missing index date, primary outcome data, or inability to ascertain dMMR/MSI-H status.</w:t>
      </w:r>
    </w:p>
    <w:p>
      <w:pPr>
        <w:pStyle w:val="Heading3"/>
        <w:spacing w:before="160" w:after="80" w:line="276"/>
        <w:jc w:val="both"/>
      </w:pPr>
      <w:r>
        <w:rPr>
          <w:rFonts w:ascii="Arial" w:cs="Arial" w:eastAsia="Arial" w:hAnsi="Arial"/>
          <w:b/>
          <w:bCs/>
          <w:color w:val="2E6DA4"/>
          <w:sz w:val="20"/>
          <w:szCs w:val="20"/>
        </w:rPr>
        <w:t xml:space="preserve">4.3  Index Date and Time-Zero Definition</w:t>
      </w:r>
    </w:p>
    <w:p>
      <w:pPr>
        <w:spacing w:before="60" w:after="60" w:line="276"/>
        <w:jc w:val="both"/>
      </w:pPr>
      <w:r>
        <w:rPr>
          <w:rFonts w:ascii="Arial" w:cs="Arial" w:eastAsia="Arial" w:hAnsi="Arial"/>
          <w:b w:val="false"/>
          <w:bCs w:val="false"/>
          <w:i w:val="false"/>
          <w:iCs w:val="false"/>
          <w:color w:val="1A1A1A"/>
          <w:sz w:val="19"/>
          <w:szCs w:val="19"/>
        </w:rPr>
        <w:t xml:space="preserve">The index date is defined as the date of first Cervimab infusion (or first fill of comparator therapy) identified in the data source. An active comparator, new-user design will be the primary analytical approach to minimize immortal time bias and prevalent-user bias.</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5.0  Exposure Definition and Comparators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Exposure Group</w:t>
            </w:r>
          </w:p>
        </w:tc>
        <w:tc>
          <w:tcPr>
            <w:tcW w:type="dxa" w:w="4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Cervimab (CVM-101)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NDC/CPT/HCPCS code for CVM-101; first documented administration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Index treatment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Pembrolizumab</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NDC/CPT/HCPCS code for pembrolizumab (Keytruda®)</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Active comparator — approved PD-1 inhibitor in indication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FOLFOX ± bevacizumab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Claims/EHR-based algorithm per published literature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Chemotherapy backbone comparator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FOLFIRI ± bevacizumab</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Claims/EHR-based algorithm per published literature</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Chemotherapy backbone comparator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TAS-102 / Regorafenib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NDC code — later-line analyses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Late-line comparator</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6.0  Outcomes</w:t>
      </w:r>
    </w:p>
    <w:p>
      <w:pPr>
        <w:pStyle w:val="Heading3"/>
        <w:spacing w:before="160" w:after="80" w:line="276"/>
        <w:jc w:val="both"/>
      </w:pPr>
      <w:r>
        <w:rPr>
          <w:rFonts w:ascii="Arial" w:cs="Arial" w:eastAsia="Arial" w:hAnsi="Arial"/>
          <w:b/>
          <w:bCs/>
          <w:color w:val="2E6DA4"/>
          <w:sz w:val="20"/>
          <w:szCs w:val="20"/>
        </w:rPr>
        <w:t xml:space="preserve">6.1  Primary Outcomes</w:t>
      </w:r>
    </w:p>
    <w:p>
      <w:pPr>
        <w:pStyle w:val="ListParagraph"/>
        <w:numPr>
          <w:ilvl w:val="0"/>
          <w:numId w:val="2"/>
        </w:numPr>
        <w:spacing w:before="60" w:after="60"/>
      </w:pPr>
      <w:r>
        <w:rPr>
          <w:rFonts w:ascii="Arial" w:cs="Arial" w:eastAsia="Arial" w:hAnsi="Arial"/>
          <w:color w:val="1A1A1A"/>
          <w:sz w:val="19"/>
          <w:szCs w:val="19"/>
        </w:rPr>
        <w:t xml:space="preserve">Overall Survival (OS): Time from index date to all-cause death, ascertained via Social Security Death Master File linkage, CMS mortality data, or EHR-recorded date of death. Patients alive at end of follow-up are censored at last activity date.</w:t>
      </w:r>
    </w:p>
    <w:p>
      <w:pPr>
        <w:pStyle w:val="ListParagraph"/>
        <w:numPr>
          <w:ilvl w:val="0"/>
          <w:numId w:val="2"/>
        </w:numPr>
        <w:spacing w:before="60" w:after="60"/>
      </w:pPr>
      <w:r>
        <w:rPr>
          <w:rFonts w:ascii="Arial" w:cs="Arial" w:eastAsia="Arial" w:hAnsi="Arial"/>
          <w:color w:val="1A1A1A"/>
          <w:sz w:val="19"/>
          <w:szCs w:val="19"/>
        </w:rPr>
        <w:t xml:space="preserve">Composite Grade ≥3 Immune-Mediated Adverse Events (imAEs): First occurrence of Grade ≥3 immune-related adverse event as identified by validated ICD-10-CM/CTCAE mapping algorithms, requiring systemic corticosteroids ≥20 mg/day prednisone equivalent or hospitalization within 30 days.</w:t>
      </w:r>
    </w:p>
    <w:p>
      <w:pPr>
        <w:pStyle w:val="Heading3"/>
        <w:spacing w:before="160" w:after="80" w:line="276"/>
        <w:jc w:val="both"/>
      </w:pPr>
      <w:r>
        <w:rPr>
          <w:rFonts w:ascii="Arial" w:cs="Arial" w:eastAsia="Arial" w:hAnsi="Arial"/>
          <w:b/>
          <w:bCs/>
          <w:color w:val="2E6DA4"/>
          <w:sz w:val="20"/>
          <w:szCs w:val="20"/>
        </w:rPr>
        <w:t xml:space="preserve">6.2  Secondary Outcomes</w:t>
      </w:r>
    </w:p>
    <w:p>
      <w:pPr>
        <w:pStyle w:val="ListParagraph"/>
        <w:numPr>
          <w:ilvl w:val="0"/>
          <w:numId w:val="2"/>
        </w:numPr>
        <w:spacing w:before="60" w:after="60"/>
      </w:pPr>
      <w:r>
        <w:rPr>
          <w:rFonts w:ascii="Arial" w:cs="Arial" w:eastAsia="Arial" w:hAnsi="Arial"/>
          <w:color w:val="1A1A1A"/>
          <w:sz w:val="19"/>
          <w:szCs w:val="19"/>
        </w:rPr>
        <w:t xml:space="preserve">Real-world Progression-Free Survival (rwPFS): Time to first evidence of radiographic or clinical progression (investigator-assessed in registry) or all-cause death, per Ronco et al. (2020) real-world progression algorithm for oncology claims data.</w:t>
      </w:r>
    </w:p>
    <w:p>
      <w:pPr>
        <w:pStyle w:val="ListParagraph"/>
        <w:numPr>
          <w:ilvl w:val="0"/>
          <w:numId w:val="2"/>
        </w:numPr>
        <w:spacing w:before="60" w:after="60"/>
      </w:pPr>
      <w:r>
        <w:rPr>
          <w:rFonts w:ascii="Arial" w:cs="Arial" w:eastAsia="Arial" w:hAnsi="Arial"/>
          <w:color w:val="1A1A1A"/>
          <w:sz w:val="19"/>
          <w:szCs w:val="19"/>
        </w:rPr>
        <w:t xml:space="preserve">Time to Next Treatment (TTNT): Duration from index therapy to initiation of a subsequent line of systemic anti-cancer therapy.</w:t>
      </w:r>
    </w:p>
    <w:p>
      <w:pPr>
        <w:pStyle w:val="ListParagraph"/>
        <w:numPr>
          <w:ilvl w:val="0"/>
          <w:numId w:val="2"/>
        </w:numPr>
        <w:spacing w:before="60" w:after="60"/>
      </w:pPr>
      <w:r>
        <w:rPr>
          <w:rFonts w:ascii="Arial" w:cs="Arial" w:eastAsia="Arial" w:hAnsi="Arial"/>
          <w:color w:val="1A1A1A"/>
          <w:sz w:val="19"/>
          <w:szCs w:val="19"/>
        </w:rPr>
        <w:t xml:space="preserve">Healthcare Resource Utilization (HCRU): All-cause and cancer-related inpatient admissions, ED visits, outpatient infusion visits, and total direct medical costs in 12-month post-index window.</w:t>
      </w:r>
    </w:p>
    <w:p>
      <w:pPr>
        <w:pStyle w:val="ListParagraph"/>
        <w:numPr>
          <w:ilvl w:val="0"/>
          <w:numId w:val="2"/>
        </w:numPr>
        <w:spacing w:before="60" w:after="60"/>
      </w:pPr>
      <w:r>
        <w:rPr>
          <w:rFonts w:ascii="Arial" w:cs="Arial" w:eastAsia="Arial" w:hAnsi="Arial"/>
          <w:color w:val="1A1A1A"/>
          <w:sz w:val="19"/>
          <w:szCs w:val="19"/>
        </w:rPr>
        <w:t xml:space="preserve">Treatment Duration and Dose Modifications: Therapy duration, dose delays (&gt;14 days from scheduled), dose reductions, and reasons for permanent discontinuation.</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7.0  Statistical Analysis Methods</w:t>
      </w:r>
    </w:p>
    <w:p>
      <w:pPr>
        <w:pStyle w:val="Heading3"/>
        <w:spacing w:before="160" w:after="80" w:line="276"/>
        <w:jc w:val="both"/>
      </w:pPr>
      <w:r>
        <w:rPr>
          <w:rFonts w:ascii="Arial" w:cs="Arial" w:eastAsia="Arial" w:hAnsi="Arial"/>
          <w:b/>
          <w:bCs/>
          <w:color w:val="2E6DA4"/>
          <w:sz w:val="20"/>
          <w:szCs w:val="20"/>
        </w:rPr>
        <w:t xml:space="preserve">7.1  Propensity Score Methods</w:t>
      </w:r>
    </w:p>
    <w:p>
      <w:pPr>
        <w:spacing w:before="60" w:after="60" w:line="276"/>
        <w:jc w:val="both"/>
      </w:pPr>
      <w:r>
        <w:rPr>
          <w:rFonts w:ascii="Arial" w:cs="Arial" w:eastAsia="Arial" w:hAnsi="Arial"/>
          <w:b w:val="false"/>
          <w:bCs w:val="false"/>
          <w:i w:val="false"/>
          <w:iCs w:val="false"/>
          <w:color w:val="1A1A1A"/>
          <w:sz w:val="19"/>
          <w:szCs w:val="19"/>
        </w:rPr>
        <w:t xml:space="preserve">To mitigate confounding by indication, inverse probability of treatment weighting (IPTW) using stabilized weights derived from logistic regression propensity score models will be the primary analytical approach. Propensity score overlap weighting (Li et al., 2018) will be explored as a sensitivity analysis for improved covariate balance. Covariate balance will be assessed using standardized mean differences (SMD; target SMD &lt;0.10 post-weighting).</w:t>
      </w:r>
    </w:p>
    <w:p>
      <w:pPr>
        <w:spacing w:before="60" w:after="60" w:line="276"/>
        <w:jc w:val="both"/>
      </w:pPr>
      <w:r>
        <w:rPr>
          <w:rFonts w:ascii="Arial" w:cs="Arial" w:eastAsia="Arial" w:hAnsi="Arial"/>
          <w:b w:val="false"/>
          <w:bCs w:val="false"/>
          <w:i w:val="false"/>
          <w:iCs w:val="false"/>
          <w:color w:val="1A1A1A"/>
          <w:sz w:val="19"/>
          <w:szCs w:val="19"/>
        </w:rPr>
        <w:t xml:space="preserve">Covariates for PS models: age, sex, geographic region, insurance type, year of index, ECOG PS, primary tumor location (right/left/rectal), presence of hepatic/pulmonary/peritoneal metastases, number of prior systemic therapy lines, KRAS/NRAS/BRAF mutation status (where available), Charlson Comorbidity Index, prior corticosteroid use, prior anti-VEGF/EGFR therapy.</w:t>
      </w:r>
    </w:p>
    <w:p>
      <w:pPr>
        <w:pStyle w:val="Heading3"/>
        <w:spacing w:before="160" w:after="80" w:line="276"/>
        <w:jc w:val="both"/>
      </w:pPr>
      <w:r>
        <w:rPr>
          <w:rFonts w:ascii="Arial" w:cs="Arial" w:eastAsia="Arial" w:hAnsi="Arial"/>
          <w:b/>
          <w:bCs/>
          <w:color w:val="2E6DA4"/>
          <w:sz w:val="20"/>
          <w:szCs w:val="20"/>
        </w:rPr>
        <w:t xml:space="preserve">7.2  Time-to-Event Analysis</w:t>
      </w:r>
    </w:p>
    <w:p>
      <w:pPr>
        <w:pStyle w:val="ListParagraph"/>
        <w:numPr>
          <w:ilvl w:val="0"/>
          <w:numId w:val="2"/>
        </w:numPr>
        <w:spacing w:before="60" w:after="60"/>
      </w:pPr>
      <w:r>
        <w:rPr>
          <w:rFonts w:ascii="Arial" w:cs="Arial" w:eastAsia="Arial" w:hAnsi="Arial"/>
          <w:color w:val="1A1A1A"/>
          <w:sz w:val="19"/>
          <w:szCs w:val="19"/>
        </w:rPr>
        <w:t xml:space="preserve">Kaplan-Meier method for unadjusted survival curves with log-rank tests; restricted mean survival time (RMST) as primary summary statistic per FDA guidance recommendation.</w:t>
      </w:r>
    </w:p>
    <w:p>
      <w:pPr>
        <w:pStyle w:val="ListParagraph"/>
        <w:numPr>
          <w:ilvl w:val="0"/>
          <w:numId w:val="2"/>
        </w:numPr>
        <w:spacing w:before="60" w:after="60"/>
      </w:pPr>
      <w:r>
        <w:rPr>
          <w:rFonts w:ascii="Arial" w:cs="Arial" w:eastAsia="Arial" w:hAnsi="Arial"/>
          <w:color w:val="1A1A1A"/>
          <w:sz w:val="19"/>
          <w:szCs w:val="19"/>
        </w:rPr>
        <w:t xml:space="preserve">Weighted Cox proportional hazards regression for confounder-adjusted hazard ratio (HR) estimates with 95% confidence intervals; proportional hazards assumption tested via Schoenfeld residuals.</w:t>
      </w:r>
    </w:p>
    <w:p>
      <w:pPr>
        <w:pStyle w:val="ListParagraph"/>
        <w:numPr>
          <w:ilvl w:val="0"/>
          <w:numId w:val="2"/>
        </w:numPr>
        <w:spacing w:before="60" w:after="60"/>
      </w:pPr>
      <w:r>
        <w:rPr>
          <w:rFonts w:ascii="Arial" w:cs="Arial" w:eastAsia="Arial" w:hAnsi="Arial"/>
          <w:color w:val="1A1A1A"/>
          <w:sz w:val="19"/>
          <w:szCs w:val="19"/>
        </w:rPr>
        <w:t xml:space="preserve">Competing risks analyses using Fine-Gray subdistribution hazard models where competing events (e.g., non-cancer death) are pre-specified.</w:t>
      </w:r>
    </w:p>
    <w:p>
      <w:pPr>
        <w:pStyle w:val="Heading3"/>
        <w:spacing w:before="160" w:after="80" w:line="276"/>
        <w:jc w:val="both"/>
      </w:pPr>
      <w:r>
        <w:rPr>
          <w:rFonts w:ascii="Arial" w:cs="Arial" w:eastAsia="Arial" w:hAnsi="Arial"/>
          <w:b/>
          <w:bCs/>
          <w:color w:val="2E6DA4"/>
          <w:sz w:val="20"/>
          <w:szCs w:val="20"/>
        </w:rPr>
        <w:t xml:space="preserve">7.3  Subgroup Analyses</w:t>
      </w:r>
    </w:p>
    <w:p>
      <w:pPr>
        <w:spacing w:before="60" w:after="60" w:line="276"/>
        <w:jc w:val="both"/>
      </w:pPr>
      <w:r>
        <w:rPr>
          <w:rFonts w:ascii="Arial" w:cs="Arial" w:eastAsia="Arial" w:hAnsi="Arial"/>
          <w:b w:val="false"/>
          <w:bCs w:val="false"/>
          <w:i w:val="false"/>
          <w:iCs w:val="false"/>
          <w:color w:val="1A1A1A"/>
          <w:sz w:val="19"/>
          <w:szCs w:val="19"/>
        </w:rPr>
        <w:t xml:space="preserve">Pre-specified subgroup analyses will be performed for: age (&lt;65 vs. 65–74 vs. ≥75), sex, ECOG PS (0–1 vs. 2–3), treatment line (1L vs. 2L+), Lynch syndrome status, BRAF V600E mutation, prior anti-VEGF exposure, and hepatic metastases. Forest plots will summarize subgroup HRs. Interaction p-values will be reported without adjustment for multiplicity, and results interpreted as exploratory.</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8.0  Bias Mitigation and Sensitivity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Bias Type</w:t>
            </w:r>
          </w:p>
        </w:tc>
        <w:tc>
          <w:tcPr>
            <w:tcW w:type="dxa" w:w="34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 Strategy</w:t>
            </w:r>
          </w:p>
        </w:tc>
        <w:tc>
          <w:tcPr>
            <w:tcW w:type="dxa" w:w="34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Sensitivity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Confounding by indication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IPTW with PS model; active comparator new-user design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PS matching; overlap weighting; high-dimensional PS (hdPS)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Immortal time bias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Index date = first treatment date; careful time-zero definition</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Landmark analysis at 30 days post-index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Outcome misclassification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Algorithm validation against medical record abstraction substudy (n≥200)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Alternate outcome definitions (±7-day window)</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Informative censoring</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Weighted survival models; sensitivity analysis with administrative censoring at 24 months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Competing risks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Unmeasured confounding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E-value calculation; quantitative bias analysis (QBA)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Negative control outcome analysis (NCOA)</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Differential follow-up</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Stabilized IPTW; RMST as primary endpoint</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Truncated follow-up at 12 months</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9.0  Data Governance and Quality</w:t>
      </w:r>
    </w:p>
    <w:p>
      <w:pPr>
        <w:pStyle w:val="ListParagraph"/>
        <w:numPr>
          <w:ilvl w:val="0"/>
          <w:numId w:val="2"/>
        </w:numPr>
        <w:spacing w:before="60" w:after="60"/>
      </w:pPr>
      <w:r>
        <w:rPr>
          <w:rFonts w:ascii="Arial" w:cs="Arial" w:eastAsia="Arial" w:hAnsi="Arial"/>
          <w:color w:val="1A1A1A"/>
          <w:sz w:val="19"/>
          <w:szCs w:val="19"/>
        </w:rPr>
        <w:t xml:space="preserve">All RWD sources will undergo a pre-specified data qualification assessment per FDA (2021) guidance criteria: relevance, reliability, data standards, and completeness.</w:t>
      </w:r>
    </w:p>
    <w:p>
      <w:pPr>
        <w:pStyle w:val="ListParagraph"/>
        <w:numPr>
          <w:ilvl w:val="0"/>
          <w:numId w:val="2"/>
        </w:numPr>
        <w:spacing w:before="60" w:after="60"/>
      </w:pPr>
      <w:r>
        <w:rPr>
          <w:rFonts w:ascii="Arial" w:cs="Arial" w:eastAsia="Arial" w:hAnsi="Arial"/>
          <w:color w:val="1A1A1A"/>
          <w:sz w:val="19"/>
          <w:szCs w:val="19"/>
        </w:rPr>
        <w:t xml:space="preserve">A Data Quality Assessment (DQA) report will be filed prior to analysis initiation documenting completeness rates (target &gt;95% for primary variables), consistency checks, and plausibility assessments.</w:t>
      </w:r>
    </w:p>
    <w:p>
      <w:pPr>
        <w:pStyle w:val="ListParagraph"/>
        <w:numPr>
          <w:ilvl w:val="0"/>
          <w:numId w:val="2"/>
        </w:numPr>
        <w:spacing w:before="60" w:after="60"/>
      </w:pPr>
      <w:r>
        <w:rPr>
          <w:rFonts w:ascii="Arial" w:cs="Arial" w:eastAsia="Arial" w:hAnsi="Arial"/>
          <w:color w:val="1A1A1A"/>
          <w:sz w:val="19"/>
          <w:szCs w:val="19"/>
        </w:rPr>
        <w:t xml:space="preserve">De-identification will be confirmed per the HIPAA Expert Determination method (45 CFR 164.514(b)) for all data transfers. Data processing will occur within secure, audit-logged analytical environments compliant with 21 CFR Part 11.</w:t>
      </w:r>
    </w:p>
    <w:p>
      <w:pPr>
        <w:pStyle w:val="ListParagraph"/>
        <w:numPr>
          <w:ilvl w:val="0"/>
          <w:numId w:val="2"/>
        </w:numPr>
        <w:spacing w:before="60" w:after="60"/>
      </w:pPr>
      <w:r>
        <w:rPr>
          <w:rFonts w:ascii="Arial" w:cs="Arial" w:eastAsia="Arial" w:hAnsi="Arial"/>
          <w:color w:val="1A1A1A"/>
          <w:sz w:val="19"/>
          <w:szCs w:val="19"/>
        </w:rPr>
        <w:t xml:space="preserve">All analysis code (SAS 9.4, R ≥4.3.0) will be version-controlled (Git), subject to dual-programmer review, and archived in the Trial Master File (TMF).</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10.0  Reporting and Dissemination</w:t>
      </w:r>
    </w:p>
    <w:p>
      <w:pPr>
        <w:pStyle w:val="ListParagraph"/>
        <w:numPr>
          <w:ilvl w:val="0"/>
          <w:numId w:val="2"/>
        </w:numPr>
        <w:spacing w:before="60" w:after="60"/>
      </w:pPr>
      <w:r>
        <w:rPr>
          <w:rFonts w:ascii="Arial" w:cs="Arial" w:eastAsia="Arial" w:hAnsi="Arial"/>
          <w:color w:val="1A1A1A"/>
          <w:sz w:val="19"/>
          <w:szCs w:val="19"/>
        </w:rPr>
        <w:t xml:space="preserve">Results will be reported per the REaL-World Evidence REporting Standards (REWERSE) and STROBE/RECORD-PE extensions for RWE studies.</w:t>
      </w:r>
    </w:p>
    <w:p>
      <w:pPr>
        <w:pStyle w:val="ListParagraph"/>
        <w:numPr>
          <w:ilvl w:val="0"/>
          <w:numId w:val="2"/>
        </w:numPr>
        <w:spacing w:before="60" w:after="60"/>
      </w:pPr>
      <w:r>
        <w:rPr>
          <w:rFonts w:ascii="Arial" w:cs="Arial" w:eastAsia="Arial" w:hAnsi="Arial"/>
          <w:color w:val="1A1A1A"/>
          <w:sz w:val="19"/>
          <w:szCs w:val="19"/>
        </w:rPr>
        <w:t xml:space="preserve">Manuscripts will be submitted to peer-reviewed oncology journals (NEJM Evid, JCO, JAMA Oncology) with preregistration on clinicaltrials.gov (observational study record) and the EU PAS Register (EUPAS).</w:t>
      </w:r>
    </w:p>
    <w:p>
      <w:pPr>
        <w:pStyle w:val="ListParagraph"/>
        <w:numPr>
          <w:ilvl w:val="0"/>
          <w:numId w:val="2"/>
        </w:numPr>
        <w:spacing w:before="60" w:after="60"/>
      </w:pPr>
      <w:r>
        <w:rPr>
          <w:rFonts w:ascii="Arial" w:cs="Arial" w:eastAsia="Arial" w:hAnsi="Arial"/>
          <w:color w:val="1A1A1A"/>
          <w:sz w:val="19"/>
          <w:szCs w:val="19"/>
        </w:rPr>
        <w:t xml:space="preserve">FDA will be provided interim RWD reports at 12-month intervals per post-marketing commitment schedule, and final RWE study reports no later than 36 months post-approval.</w:t>
      </w:r>
    </w:p>
    <w:p>
      <w:pPr>
        <w:pStyle w:val="ListParagraph"/>
        <w:numPr>
          <w:ilvl w:val="0"/>
          <w:numId w:val="2"/>
        </w:numPr>
        <w:spacing w:before="60" w:after="60"/>
      </w:pPr>
      <w:r>
        <w:rPr>
          <w:rFonts w:ascii="Arial" w:cs="Arial" w:eastAsia="Arial" w:hAnsi="Arial"/>
          <w:color w:val="1A1A1A"/>
          <w:sz w:val="19"/>
          <w:szCs w:val="19"/>
        </w:rPr>
        <w:t xml:space="preserve">Results, whether positive, negative, or null, will be publicly disclosed per the FDAAA 2007 reporting requirements.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DOCUMENT II — REAL-WORLD EVIDENCE STUDY PROTOCOLS</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00"/>
              <w:left w:type="dxa" w:w="200"/>
              <w:bottom w:type="dxa" w:w="100"/>
              <w:right w:type="dxa" w:w="200"/>
            </w:tcMar>
          </w:tcPr>
          <w:p>
            <w:pPr>
              <w:jc w:val="center"/>
            </w:pPr>
            <w:r>
              <w:rPr>
                <w:rFonts w:ascii="Arial" w:cs="Arial" w:eastAsia="Arial" w:hAnsi="Arial"/>
                <w:i/>
                <w:iCs/>
                <w:color w:val="1B3A5C"/>
                <w:sz w:val="18"/>
                <w:szCs w:val="18"/>
              </w:rPr>
              <w:t xml:space="preserve">This document contains three (3) RWE study protocols integrated into a single regulatory submission package: RWE-01 | RWE-02 | RWE-03</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60"/>
              <w:left w:type="dxa" w:w="280"/>
              <w:bottom w:type="dxa" w:w="160"/>
              <w:right w:type="dxa" w:w="280"/>
            </w:tcMar>
          </w:tcPr>
          <w:p>
            <w:pPr>
              <w:jc w:val="center"/>
            </w:pPr>
            <w:r>
              <w:rPr>
                <w:rFonts w:ascii="Arial" w:cs="Arial" w:eastAsia="Arial" w:hAnsi="Arial"/>
                <w:b/>
                <w:bCs/>
                <w:color w:val="FFFFFF"/>
                <w:sz w:val="32"/>
                <w:szCs w:val="32"/>
              </w:rPr>
              <w:t xml:space="preserve">STUDY RWE-01</w:t>
            </w:r>
          </w:p>
          <w:p>
            <w:pPr>
              <w:jc w:val="center"/>
            </w:pPr>
            <w:r>
              <w:rPr>
                <w:rFonts w:ascii="Arial" w:cs="Arial" w:eastAsia="Arial" w:hAnsi="Arial"/>
                <w:i/>
                <w:iCs/>
                <w:color w:val="A5D6A7"/>
                <w:sz w:val="20"/>
                <w:szCs w:val="20"/>
              </w:rPr>
              <w:t xml:space="preserve">Comparative Effectiveness of Cervimab Versus Standard-of-Care Therapies in Patients with dMMR/MSI-H Metastatic Colorectal Cancer in Real-World Clinical Practice</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Protocol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CERV-RWE-01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Study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Retrospective cohort study; active comparator new-user design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Flatiron Health Oncology EHR  |  CMS Medicare FFS Claims  |  SEER-Medicare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Study 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Cervimab approval date through December 31, 2029 (primary analysis)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Population (Est.)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 ≥ 2,000 Cervimab-treated; N ≥ 4,000 comparator-treated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Primary 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Overall Survival (OS) — RMST at 24 months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Regulatory Basis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 CFR 312.85; Post-Marketing Commitment PMC-CERV-001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EMA/MHRA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 applicable (US filing); EMA collaboration pending</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3"/>
        <w:spacing w:before="160" w:after="80" w:line="276"/>
        <w:jc w:val="both"/>
      </w:pPr>
      <w:r>
        <w:rPr>
          <w:rFonts w:ascii="Arial" w:cs="Arial" w:eastAsia="Arial" w:hAnsi="Arial"/>
          <w:b/>
          <w:bCs/>
          <w:color w:val="2E6DA4"/>
          <w:sz w:val="20"/>
          <w:szCs w:val="20"/>
        </w:rPr>
        <w:t xml:space="preserve">Protocol Synopsis — RWE-01</w:t>
      </w:r>
    </w:p>
    <w:p>
      <w:pPr>
        <w:spacing w:before="140" w:after="60" w:line="276"/>
        <w:jc w:val="both"/>
      </w:pPr>
      <w:r>
        <w:rPr>
          <w:rFonts w:ascii="Arial" w:cs="Arial" w:eastAsia="Arial" w:hAnsi="Arial"/>
          <w:b/>
          <w:bCs/>
          <w:color w:val="4A4A4A"/>
          <w:sz w:val="20"/>
          <w:szCs w:val="20"/>
        </w:rPr>
        <w:t xml:space="preserve">1.  Objectives</w:t>
      </w:r>
    </w:p>
    <w:p>
      <w:pPr>
        <w:spacing w:before="60" w:after="60" w:line="276"/>
        <w:jc w:val="both"/>
      </w:pPr>
      <w:r>
        <w:rPr>
          <w:rFonts w:ascii="Arial" w:cs="Arial" w:eastAsia="Arial" w:hAnsi="Arial"/>
          <w:b w:val="false"/>
          <w:bCs w:val="false"/>
          <w:i w:val="false"/>
          <w:iCs w:val="false"/>
          <w:color w:val="1A1A1A"/>
          <w:sz w:val="19"/>
          <w:szCs w:val="19"/>
        </w:rPr>
        <w:t xml:space="preserve">The primary objective is to compare overall survival between patients receiving Cervimab and pembrolizumab (active comparator) in first-line treatment of dMMR/MSI-H mCRC using propensity score-weighted analyses of real-world EHR and claims data. Secondary objectives include comparison of rwPFS, TTNT, safety (imAE rates), HCRU, and costs. Exploratory objectives include treatment sequences and outcomes in elderly/PS ≥2 subgroups.</w:t>
      </w:r>
    </w:p>
    <w:p>
      <w:pPr>
        <w:spacing w:before="140" w:after="60" w:line="276"/>
        <w:jc w:val="both"/>
      </w:pPr>
      <w:r>
        <w:rPr>
          <w:rFonts w:ascii="Arial" w:cs="Arial" w:eastAsia="Arial" w:hAnsi="Arial"/>
          <w:b/>
          <w:bCs/>
          <w:color w:val="4A4A4A"/>
          <w:sz w:val="20"/>
          <w:szCs w:val="20"/>
        </w:rPr>
        <w:t xml:space="preserve">2.  Study Design</w:t>
      </w:r>
    </w:p>
    <w:p>
      <w:pPr>
        <w:spacing w:before="60" w:after="60" w:line="276"/>
        <w:jc w:val="both"/>
      </w:pPr>
      <w:r>
        <w:rPr>
          <w:rFonts w:ascii="Arial" w:cs="Arial" w:eastAsia="Arial" w:hAnsi="Arial"/>
          <w:b w:val="false"/>
          <w:bCs w:val="false"/>
          <w:i w:val="false"/>
          <w:iCs w:val="false"/>
          <w:color w:val="1A1A1A"/>
          <w:sz w:val="19"/>
          <w:szCs w:val="19"/>
        </w:rPr>
        <w:t xml:space="preserve">A retrospective, multi-database, active comparator new-user cohort design will be employed. Patients will be identified using validated diagnosis and treatment identification algorithms applied to Flatiron Health EHR data (primary), with parallel analyses conducted in Medicare and SEER-Medicare databases for replication and generalizability. New users of Cervimab or pembrolizumab initiated in the first-line metastatic setting will be identified. The index date is the first documented Cervimab or pembrolizumab administration.</w:t>
      </w:r>
    </w:p>
    <w:p>
      <w:pPr>
        <w:spacing w:before="140" w:after="60" w:line="276"/>
        <w:jc w:val="both"/>
      </w:pPr>
      <w:r>
        <w:rPr>
          <w:rFonts w:ascii="Arial" w:cs="Arial" w:eastAsia="Arial" w:hAnsi="Arial"/>
          <w:b/>
          <w:bCs/>
          <w:color w:val="4A4A4A"/>
          <w:sz w:val="20"/>
          <w:szCs w:val="20"/>
        </w:rPr>
        <w:t xml:space="preserve">3.  Eligibility Criteria</w:t>
      </w:r>
    </w:p>
    <w:p>
      <w:pPr>
        <w:pStyle w:val="ListParagraph"/>
        <w:numPr>
          <w:ilvl w:val="0"/>
          <w:numId w:val="2"/>
        </w:numPr>
        <w:spacing w:before="60" w:after="60"/>
      </w:pPr>
      <w:r>
        <w:rPr>
          <w:rFonts w:ascii="Arial" w:cs="Arial" w:eastAsia="Arial" w:hAnsi="Arial"/>
          <w:color w:val="1A1A1A"/>
          <w:sz w:val="19"/>
          <w:szCs w:val="19"/>
        </w:rPr>
        <w:t xml:space="preserve">Inclusion: Adult patients (≥18 years); confirmed mCRC by ICD-10 codes; confirmed dMMR/MSI-H by IHC or molecular testing documented in the EHR; initiating first-line anti-PD-1 therapy (Cervimab or pembrolizumab) on or after the Cervimab US approval date; ≥6 months of EHR activity prior to index date.</w:t>
      </w:r>
    </w:p>
    <w:p>
      <w:pPr>
        <w:pStyle w:val="ListParagraph"/>
        <w:numPr>
          <w:ilvl w:val="0"/>
          <w:numId w:val="2"/>
        </w:numPr>
        <w:spacing w:before="60" w:after="60"/>
      </w:pPr>
      <w:r>
        <w:rPr>
          <w:rFonts w:ascii="Arial" w:cs="Arial" w:eastAsia="Arial" w:hAnsi="Arial"/>
          <w:color w:val="1A1A1A"/>
          <w:sz w:val="19"/>
          <w:szCs w:val="19"/>
        </w:rPr>
        <w:t xml:space="preserve">Exclusion: Prior checkpoint inhibitor therapy at any time; concurrent enrollment in blinded interventional trial; missing or unverifiable dMMR/MSI-H biomarker status; index date = date of death.</w:t>
      </w:r>
    </w:p>
    <w:p>
      <w:pPr>
        <w:spacing w:before="140" w:after="60" w:line="276"/>
        <w:jc w:val="both"/>
      </w:pPr>
      <w:r>
        <w:rPr>
          <w:rFonts w:ascii="Arial" w:cs="Arial" w:eastAsia="Arial" w:hAnsi="Arial"/>
          <w:b/>
          <w:bCs/>
          <w:color w:val="4A4A4A"/>
          <w:sz w:val="20"/>
          <w:szCs w:val="20"/>
        </w:rPr>
        <w:t xml:space="preserve">4.  Exposure and Comparator Definition</w:t>
      </w:r>
    </w:p>
    <w:p>
      <w:pPr>
        <w:spacing w:before="60" w:after="60" w:line="276"/>
        <w:jc w:val="both"/>
      </w:pPr>
      <w:r>
        <w:rPr>
          <w:rFonts w:ascii="Arial" w:cs="Arial" w:eastAsia="Arial" w:hAnsi="Arial"/>
          <w:b w:val="false"/>
          <w:bCs w:val="false"/>
          <w:i w:val="false"/>
          <w:iCs w:val="false"/>
          <w:color w:val="1A1A1A"/>
          <w:sz w:val="19"/>
          <w:szCs w:val="19"/>
        </w:rPr>
        <w:t xml:space="preserve">Cervimab: identified by drug name and NDC/HCPCS code in EHR structured data or claims. Pembrolizumab (active comparator): identified by drug name and NDC code. Treatment duration is defined as the period from index date to last documented administration plus one standard dosing interval (3 weeks for pembrolizumab; dose-interval per approved labeling for Cervimab) unless discontinuation is documented earlier.</w:t>
      </w:r>
    </w:p>
    <w:p>
      <w:pPr>
        <w:spacing w:before="140" w:after="60" w:line="276"/>
        <w:jc w:val="both"/>
      </w:pPr>
      <w:r>
        <w:rPr>
          <w:rFonts w:ascii="Arial" w:cs="Arial" w:eastAsia="Arial" w:hAnsi="Arial"/>
          <w:b/>
          <w:bCs/>
          <w:color w:val="4A4A4A"/>
          <w:sz w:val="20"/>
          <w:szCs w:val="20"/>
        </w:rPr>
        <w:t xml:space="preserve">5.  Outcomes and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960"/>
        <w:gridCol w:w="20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Outcome</w:t>
            </w:r>
          </w:p>
        </w:tc>
        <w:tc>
          <w:tcPr>
            <w:tcW w:type="dxa" w:w="3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1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Source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Algorithm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Overall Survival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Time to all-cause death from index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EHR death date; SSA linkage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Chart abstraction n=200</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rwPFS</w:t>
            </w:r>
          </w:p>
        </w:tc>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Time to documented progression or death</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Flatiron rwPFS algorithm v2.1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Published sensitivity ≥80%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TTNT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Time to next-line systemic therapy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Drug start dates in EHR/claims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Algorithm vs. chart: κ≥0.85</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Grade ≥3 imAE</w:t>
            </w:r>
          </w:p>
        </w:tc>
        <w:tc>
          <w:tcPr>
            <w:tcW w:type="dxa" w:w="3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ICD-10 + corticosteroid rule</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Claims/EHR combined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Validation substudy 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HCRU/Costs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Inpatient days, ED visits, total costs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Medicare claims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Standard claims methodology</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40" w:after="60" w:line="276"/>
        <w:jc w:val="both"/>
      </w:pPr>
      <w:r>
        <w:rPr>
          <w:rFonts w:ascii="Arial" w:cs="Arial" w:eastAsia="Arial" w:hAnsi="Arial"/>
          <w:b/>
          <w:bCs/>
          <w:color w:val="4A4A4A"/>
          <w:sz w:val="20"/>
          <w:szCs w:val="20"/>
        </w:rPr>
        <w:t xml:space="preserve">6.  Sample Size and Power</w:t>
      </w:r>
    </w:p>
    <w:p>
      <w:pPr>
        <w:spacing w:before="60" w:after="60" w:line="276"/>
        <w:jc w:val="both"/>
      </w:pPr>
      <w:r>
        <w:rPr>
          <w:rFonts w:ascii="Arial" w:cs="Arial" w:eastAsia="Arial" w:hAnsi="Arial"/>
          <w:b w:val="false"/>
          <w:bCs w:val="false"/>
          <w:i w:val="false"/>
          <w:iCs w:val="false"/>
          <w:color w:val="1A1A1A"/>
          <w:sz w:val="19"/>
          <w:szCs w:val="19"/>
        </w:rPr>
        <w:t xml:space="preserve">Based on published RWD for pembrolizumab in dMMR/MSI-H mCRC (OS HR ≈ 0.60 vs. chemotherapy), assuming non-inferiority margins of HR ≤1.20 (OS) and HR ≤1.25 (rwPFS) for Cervimab vs. pembrolizumab, a minimum of 1,500 Cervimab patients and 1,500 pembrolizumab patients (1:1 ratio) provides ≥80% power at one-sided α=0.025. Anticipated enrollment in the Flatiron network and Medicare database over a 3-year accrual period and 1.5-year minimum follow-up is estimated at N≥3,500 eligible patients across both cohorts.</w:t>
      </w:r>
    </w:p>
    <w:p>
      <w:pPr>
        <w:spacing w:before="140" w:after="60" w:line="276"/>
        <w:jc w:val="both"/>
      </w:pPr>
      <w:r>
        <w:rPr>
          <w:rFonts w:ascii="Arial" w:cs="Arial" w:eastAsia="Arial" w:hAnsi="Arial"/>
          <w:b/>
          <w:bCs/>
          <w:color w:val="4A4A4A"/>
          <w:sz w:val="20"/>
          <w:szCs w:val="20"/>
        </w:rPr>
        <w:t xml:space="preserve">7.  Statistical Analysis</w:t>
      </w:r>
    </w:p>
    <w:p>
      <w:pPr>
        <w:spacing w:before="60" w:after="60" w:line="276"/>
        <w:jc w:val="both"/>
      </w:pPr>
      <w:r>
        <w:rPr>
          <w:rFonts w:ascii="Arial" w:cs="Arial" w:eastAsia="Arial" w:hAnsi="Arial"/>
          <w:b w:val="false"/>
          <w:bCs w:val="false"/>
          <w:i w:val="false"/>
          <w:iCs w:val="false"/>
          <w:color w:val="1A1A1A"/>
          <w:sz w:val="19"/>
          <w:szCs w:val="19"/>
        </w:rPr>
        <w:t xml:space="preserve">Primary analysis: IPTW-adjusted restricted mean survival time (RMST) difference at 24 months with 95% CI. Logistic propensity score model covariates as specified in Section 7.1 of the RWD-AP. Sensitivity analyses include PS matching (1:1, nearest neighbor, caliper 0.02 SD), overlap weighting, and analysis restricted to 2025–2027 to minimize calendar-time confounding. Pre-specified subgroup analyses: age &lt;65 vs. ≥65, sex, Lynch syndrome status, BRAF V600E, hepatic metastases, treatment line.</w:t>
      </w:r>
    </w:p>
    <w:p>
      <w:pPr>
        <w:spacing w:before="140" w:after="60" w:line="276"/>
        <w:jc w:val="both"/>
      </w:pPr>
      <w:r>
        <w:rPr>
          <w:rFonts w:ascii="Arial" w:cs="Arial" w:eastAsia="Arial" w:hAnsi="Arial"/>
          <w:b/>
          <w:bCs/>
          <w:color w:val="4A4A4A"/>
          <w:sz w:val="20"/>
          <w:szCs w:val="20"/>
        </w:rPr>
        <w:t xml:space="preserve">8.  Study Timeline — RWE-01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Protocol finalization and regulatory notification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Q2 2026</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IRB exemption/waiver determination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Q3 2026</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Data access agreements executed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Q3 2026</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Data qualification and feasibility assessment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2026</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Primary data lock and analysis initiation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Q1 2027</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Interim report to FDA (12 months post-approval)</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Q2 2027</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Final study report submission to FDA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2028</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Peer-reviewed manuscript submission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Q1 2029</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00" w:after="100" w:line="276"/>
        <w:jc w:val="both"/>
      </w:pPr>
      <w:r>
        <w:rPr>
          <w:rFonts w:ascii="Arial" w:cs="Arial" w:eastAsia="Arial" w:hAnsi="Arial"/>
          <w:b w:val="false"/>
          <w:bCs w:val="false"/>
          <w:i w:val="false"/>
          <w:iCs w:val="false"/>
          <w:color w:val="1A1A1A"/>
          <w:sz w:val="10"/>
          <w:szCs w:val="10"/>
        </w:rPr>
        <w:t xml:space="preserve"/>
      </w:r>
    </w:p>
    <w:p>
      <w:pPr>
        <w:pBdr>
          <w:bottom w:val="single" w:color="D6E4F0" w:sz="4" w:space="1"/>
        </w:pBdr>
        <w:spacing w:before="120" w:after="120"/>
      </w:pP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148C" w:val="clear"/>
            <w:tcMar>
              <w:top w:type="dxa" w:w="160"/>
              <w:left w:type="dxa" w:w="280"/>
              <w:bottom w:type="dxa" w:w="160"/>
              <w:right w:type="dxa" w:w="280"/>
            </w:tcMar>
          </w:tcPr>
          <w:p>
            <w:pPr>
              <w:jc w:val="center"/>
            </w:pPr>
            <w:r>
              <w:rPr>
                <w:rFonts w:ascii="Arial" w:cs="Arial" w:eastAsia="Arial" w:hAnsi="Arial"/>
                <w:b/>
                <w:bCs/>
                <w:color w:val="FFFFFF"/>
                <w:sz w:val="32"/>
                <w:szCs w:val="32"/>
              </w:rPr>
              <w:t xml:space="preserve">STUDY RWE-02</w:t>
            </w:r>
          </w:p>
          <w:p>
            <w:pPr>
              <w:jc w:val="center"/>
            </w:pPr>
            <w:r>
              <w:rPr>
                <w:rFonts w:ascii="Arial" w:cs="Arial" w:eastAsia="Arial" w:hAnsi="Arial"/>
                <w:i/>
                <w:iCs/>
                <w:color w:val="CE93D8"/>
                <w:sz w:val="20"/>
                <w:szCs w:val="20"/>
              </w:rPr>
              <w:t xml:space="preserve">Long-Term Safety Registry for Cervimab (CVM-101): Immune-Mediated Adverse Events, Rare Toxicities, and Special Populations — CERV-REG</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Protocol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CERV-RWE-02</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Study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Prospective, multi-center, open-label patient registry (post-marketing safety study)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Registry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CERV-REG — Cervimab Long-Term Safety Registry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Study Sites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Approximately 80 US oncology centers (academic + community)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Target Enrollment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3,000 patients (2,500 Cervimab-treated; 500 matched controls)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Follow-up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60 months (5 years) per patient; registry open enrollment 2026–2029</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Primary Safety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Grade ≥3 immune-mediated adverse events; delayed-onset toxicities; fatal imAEs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Regulatory Basis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 CFR 314.81(b)(3)(i); PDUFA VII PMR commitment; ICH E2E Pharmacovigilance Planning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IND Exemption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 exemption claimed per 21 CFR 312.2(b)(1); IDE not applicable</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3"/>
        <w:spacing w:before="160" w:after="80" w:line="276"/>
        <w:jc w:val="both"/>
      </w:pPr>
      <w:r>
        <w:rPr>
          <w:rFonts w:ascii="Arial" w:cs="Arial" w:eastAsia="Arial" w:hAnsi="Arial"/>
          <w:b/>
          <w:bCs/>
          <w:color w:val="2E6DA4"/>
          <w:sz w:val="20"/>
          <w:szCs w:val="20"/>
        </w:rPr>
        <w:t xml:space="preserve">Protocol Synopsis — RWE-02</w:t>
      </w:r>
    </w:p>
    <w:p>
      <w:pPr>
        <w:spacing w:before="140" w:after="60" w:line="276"/>
        <w:jc w:val="both"/>
      </w:pPr>
      <w:r>
        <w:rPr>
          <w:rFonts w:ascii="Arial" w:cs="Arial" w:eastAsia="Arial" w:hAnsi="Arial"/>
          <w:b/>
          <w:bCs/>
          <w:color w:val="4A4A4A"/>
          <w:sz w:val="20"/>
          <w:szCs w:val="20"/>
        </w:rPr>
        <w:t xml:space="preserve">1.  Background and Rationale</w:t>
      </w:r>
    </w:p>
    <w:p>
      <w:pPr>
        <w:spacing w:before="60" w:after="60" w:line="276"/>
        <w:jc w:val="both"/>
      </w:pPr>
      <w:r>
        <w:rPr>
          <w:rFonts w:ascii="Arial" w:cs="Arial" w:eastAsia="Arial" w:hAnsi="Arial"/>
          <w:b w:val="false"/>
          <w:bCs w:val="false"/>
          <w:i w:val="false"/>
          <w:iCs w:val="false"/>
          <w:color w:val="1A1A1A"/>
          <w:sz w:val="19"/>
          <w:szCs w:val="19"/>
        </w:rPr>
        <w:t xml:space="preserve">The pivotal trials supporting Cervimab approval enrolled a median of 24 months of follow-up. Long-term immune-mediated toxicities — including delayed-onset colitis (&gt;12 months), hypophysitis, type 1 diabetes mellitus, and rare Grade 4–5 events — are not fully characterizable within this window. CERV-REG is designed as a dedicated post-marketing safety registry mandated as part of the Cervimab NDA approval to collect prospective, granular safety data over 5 years with systematic medical record verification.</w:t>
      </w:r>
    </w:p>
    <w:p>
      <w:pPr>
        <w:spacing w:before="140" w:after="60" w:line="276"/>
        <w:jc w:val="both"/>
      </w:pPr>
      <w:r>
        <w:rPr>
          <w:rFonts w:ascii="Arial" w:cs="Arial" w:eastAsia="Arial" w:hAnsi="Arial"/>
          <w:b/>
          <w:bCs/>
          <w:color w:val="4A4A4A"/>
          <w:sz w:val="20"/>
          <w:szCs w:val="20"/>
        </w:rPr>
        <w:t xml:space="preserve">2.  Registry Objectives</w:t>
      </w:r>
    </w:p>
    <w:p>
      <w:pPr>
        <w:pStyle w:val="ListParagraph"/>
        <w:numPr>
          <w:ilvl w:val="0"/>
          <w:numId w:val="2"/>
        </w:numPr>
        <w:spacing w:before="60" w:after="60"/>
      </w:pPr>
      <w:r>
        <w:rPr>
          <w:rFonts w:ascii="Arial" w:cs="Arial" w:eastAsia="Arial" w:hAnsi="Arial"/>
          <w:color w:val="1A1A1A"/>
          <w:sz w:val="19"/>
          <w:szCs w:val="19"/>
        </w:rPr>
        <w:t xml:space="preserve">Primary: Estimate the 5-year cumulative incidence of Grade ≥3 immune-mediated adverse events (imAEs) by organ system in real-world Cervimab-treated patients.</w:t>
      </w:r>
    </w:p>
    <w:p>
      <w:pPr>
        <w:pStyle w:val="ListParagraph"/>
        <w:numPr>
          <w:ilvl w:val="0"/>
          <w:numId w:val="2"/>
        </w:numPr>
        <w:spacing w:before="60" w:after="60"/>
      </w:pPr>
      <w:r>
        <w:rPr>
          <w:rFonts w:ascii="Arial" w:cs="Arial" w:eastAsia="Arial" w:hAnsi="Arial"/>
          <w:color w:val="1A1A1A"/>
          <w:sz w:val="19"/>
          <w:szCs w:val="19"/>
        </w:rPr>
        <w:t xml:space="preserve">Secondary: Characterize delayed-onset imAEs occurring &gt;6 months after last Cervimab dose; describe management patterns (high-dose steroids, biologics [infliximab, mycophenolate]); assess outcomes following imAE (re-challenge decisions, resolution rates, sequelae).</w:t>
      </w:r>
    </w:p>
    <w:p>
      <w:pPr>
        <w:pStyle w:val="ListParagraph"/>
        <w:numPr>
          <w:ilvl w:val="0"/>
          <w:numId w:val="2"/>
        </w:numPr>
        <w:spacing w:before="60" w:after="60"/>
      </w:pPr>
      <w:r>
        <w:rPr>
          <w:rFonts w:ascii="Arial" w:cs="Arial" w:eastAsia="Arial" w:hAnsi="Arial"/>
          <w:color w:val="1A1A1A"/>
          <w:sz w:val="19"/>
          <w:szCs w:val="19"/>
        </w:rPr>
        <w:t xml:space="preserve">Exploratory: Identify risk factors for severe imAEs (age, baseline autoimmune disease, concurrent medications, HLA alleles in biomarker substudy); evaluate outcomes in special populations (elderly ≥75, ECOG PS 2–3, organ transplant recipients).</w:t>
      </w:r>
    </w:p>
    <w:p>
      <w:pPr>
        <w:spacing w:before="140" w:after="60" w:line="276"/>
        <w:jc w:val="both"/>
      </w:pPr>
      <w:r>
        <w:rPr>
          <w:rFonts w:ascii="Arial" w:cs="Arial" w:eastAsia="Arial" w:hAnsi="Arial"/>
          <w:b/>
          <w:bCs/>
          <w:color w:val="4A4A4A"/>
          <w:sz w:val="20"/>
          <w:szCs w:val="20"/>
        </w:rPr>
        <w:t xml:space="preserve">3.  Registry Design</w:t>
      </w:r>
    </w:p>
    <w:p>
      <w:pPr>
        <w:spacing w:before="60" w:after="60" w:line="276"/>
        <w:jc w:val="both"/>
      </w:pPr>
      <w:r>
        <w:rPr>
          <w:rFonts w:ascii="Arial" w:cs="Arial" w:eastAsia="Arial" w:hAnsi="Arial"/>
          <w:b w:val="false"/>
          <w:bCs w:val="false"/>
          <w:i w:val="false"/>
          <w:iCs w:val="false"/>
          <w:color w:val="1A1A1A"/>
          <w:sz w:val="19"/>
          <w:szCs w:val="19"/>
        </w:rPr>
        <w:t xml:space="preserve">CERV-REG is a prospective, longitudinal, non-interventional patient registry. Consecutive Cervimab-treated patients meeting eligibility criteria will be enrolled at participating sites. Patients will be followed from registry enrollment through 5 years, last Cervimab dose + 24 months, or death, whichever occurs first. A matched comparator cohort of pembrolizumab-treated patients (1:5 ratio, matched on age ±5 years, sex, treatment line, ECOG PS) will be enrolled at a subset of sites to enable comparative safety analyses.</w:t>
      </w:r>
    </w:p>
    <w:p>
      <w:pPr>
        <w:spacing w:before="140" w:after="60" w:line="276"/>
        <w:jc w:val="both"/>
      </w:pPr>
      <w:r>
        <w:rPr>
          <w:rFonts w:ascii="Arial" w:cs="Arial" w:eastAsia="Arial" w:hAnsi="Arial"/>
          <w:b/>
          <w:bCs/>
          <w:color w:val="4A4A4A"/>
          <w:sz w:val="20"/>
          <w:szCs w:val="20"/>
        </w:rPr>
        <w:t xml:space="preserve">4.  Data Collection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 Point</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Collection Method</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Data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Enrollment (Day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Case report form (CRF) + EHR abstraction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Demographics, diagnosis, staging, biomarkers, comorbidities, prior therapy, baseline labs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Every 3 months (Y1)</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CRF + telephone/portal follow-up</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Treatment status, AEs, SAEs, lab values, concomitant medications, ECOG 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Every 6 months (Y2–Y5)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CRF + EHR abstraction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AEs, hospitalization, PRO (FACT-C, EQ-5D), survival status, subsequent therapies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AE/SAE Reporting</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Within 24 hrs (fatal/life-threatening), 7 days (Grade ≥3)</w:t>
            </w:r>
          </w:p>
        </w:tc>
        <w:tc>
          <w:tcPr>
            <w:tcW w:type="dxa" w:w="4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Onset date, CTCAE grade, management, outcome, causality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End of Follow-up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Final CRF + death certificate or hospice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Survival, cause of death, last treatment date, overall disease status</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40" w:after="60" w:line="276"/>
        <w:jc w:val="both"/>
      </w:pPr>
      <w:r>
        <w:rPr>
          <w:rFonts w:ascii="Arial" w:cs="Arial" w:eastAsia="Arial" w:hAnsi="Arial"/>
          <w:b/>
          <w:bCs/>
          <w:color w:val="4A4A4A"/>
          <w:sz w:val="20"/>
          <w:szCs w:val="20"/>
        </w:rPr>
        <w:t xml:space="preserve">5.  Safety Monitoring and DSMB</w:t>
      </w:r>
    </w:p>
    <w:p>
      <w:pPr>
        <w:spacing w:before="60" w:after="60" w:line="276"/>
        <w:jc w:val="both"/>
      </w:pPr>
      <w:r>
        <w:rPr>
          <w:rFonts w:ascii="Arial" w:cs="Arial" w:eastAsia="Arial" w:hAnsi="Arial"/>
          <w:b w:val="false"/>
          <w:bCs w:val="false"/>
          <w:i w:val="false"/>
          <w:iCs w:val="false"/>
          <w:color w:val="1A1A1A"/>
          <w:sz w:val="19"/>
          <w:szCs w:val="19"/>
        </w:rPr>
        <w:t xml:space="preserve">A Data Safety Monitoring Board (DSMB) consisting of three independent oncologists, one immunologist, and one biostatistician will review unblinded safety data semiannually. DSMB charter specifies stopping rules for: cumulative incidence of Grade 5 imAE exceeding pre-specified threshold (&gt;1.5% at 24 months), unexpected clustering of severe imAEs (e.g., fatal myocarditis), or new safety signals identified through pharmacovigilance.</w:t>
      </w:r>
    </w:p>
    <w:p>
      <w:pPr>
        <w:spacing w:before="60" w:after="60" w:line="276"/>
        <w:jc w:val="both"/>
      </w:pPr>
      <w:r>
        <w:rPr>
          <w:rFonts w:ascii="Arial" w:cs="Arial" w:eastAsia="Arial" w:hAnsi="Arial"/>
          <w:b w:val="false"/>
          <w:bCs w:val="false"/>
          <w:i w:val="false"/>
          <w:iCs w:val="false"/>
          <w:color w:val="1A1A1A"/>
          <w:sz w:val="19"/>
          <w:szCs w:val="19"/>
        </w:rPr>
        <w:t xml:space="preserve">All serious adverse events (SAEs) will be reported to the FDA via MedWatch within required timeframes (15-day expedited reports for unexpected serious suspected adverse reactions; 7-day reports for fatal or life-threatening unexpected SUSARs). Annual safety reports (ASRs) will be submitted per 21 CFR 312.32 and 21 CFR 314.81.</w:t>
      </w:r>
    </w:p>
    <w:p>
      <w:pPr>
        <w:spacing w:before="140" w:after="60" w:line="276"/>
        <w:jc w:val="both"/>
      </w:pPr>
      <w:r>
        <w:rPr>
          <w:rFonts w:ascii="Arial" w:cs="Arial" w:eastAsia="Arial" w:hAnsi="Arial"/>
          <w:b/>
          <w:bCs/>
          <w:color w:val="4A4A4A"/>
          <w:sz w:val="20"/>
          <w:szCs w:val="20"/>
        </w:rPr>
        <w:t xml:space="preserve">6.  Biomarker Substudy</w:t>
      </w:r>
    </w:p>
    <w:p>
      <w:pPr>
        <w:spacing w:before="60" w:after="60" w:line="276"/>
        <w:jc w:val="both"/>
      </w:pPr>
      <w:r>
        <w:rPr>
          <w:rFonts w:ascii="Arial" w:cs="Arial" w:eastAsia="Arial" w:hAnsi="Arial"/>
          <w:b w:val="false"/>
          <w:bCs w:val="false"/>
          <w:i w:val="false"/>
          <w:iCs w:val="false"/>
          <w:color w:val="1A1A1A"/>
          <w:sz w:val="19"/>
          <w:szCs w:val="19"/>
        </w:rPr>
        <w:t xml:space="preserve">An optional biomarker substudy will enroll up to 500 consenting patients. Blood samples (20 mL) will be collected at baseline and at 3, 12, and 24 months for: HLA typing (Luminex-based), T-cell receptor (TCR) sequencing (Adaptive Biotechnologies), cytokine panel (Luminex 42-plex), and anti-nuclear antibody (ANA)/anti-thyroid antibody screening. Tumor tissue (archival FFPE or fresh biopsy) will be collected for TMB, PD-L1 CPS, and tumor-infiltrating lymphocyte (TIL) quantification. All samples will be biobanked at a CLIA-certified central laboratory.</w:t>
      </w:r>
    </w:p>
    <w:p>
      <w:pPr>
        <w:spacing w:before="140" w:after="60" w:line="276"/>
        <w:jc w:val="both"/>
      </w:pPr>
      <w:r>
        <w:rPr>
          <w:rFonts w:ascii="Arial" w:cs="Arial" w:eastAsia="Arial" w:hAnsi="Arial"/>
          <w:b/>
          <w:bCs/>
          <w:color w:val="4A4A4A"/>
          <w:sz w:val="20"/>
          <w:szCs w:val="20"/>
        </w:rPr>
        <w:t xml:space="preserve">7.  Statistical Analysis — RWE-02</w:t>
      </w:r>
    </w:p>
    <w:p>
      <w:pPr>
        <w:spacing w:before="60" w:after="60" w:line="276"/>
        <w:jc w:val="both"/>
      </w:pPr>
      <w:r>
        <w:rPr>
          <w:rFonts w:ascii="Arial" w:cs="Arial" w:eastAsia="Arial" w:hAnsi="Arial"/>
          <w:b w:val="false"/>
          <w:bCs w:val="false"/>
          <w:i w:val="false"/>
          <w:iCs w:val="false"/>
          <w:color w:val="1A1A1A"/>
          <w:sz w:val="19"/>
          <w:szCs w:val="19"/>
        </w:rPr>
        <w:t xml:space="preserve">Cumulative incidence of each imAE category will be estimated by Kaplan-Meier method (treating non-imAE death as competing risk via Fine-Gray model). Rates will be reported per 100 person-years with exact Poisson 95% CIs. Multivariable Cox regression will identify independent predictors of Grade ≥3 imAE. All analyses will be stratified by treatment line, age group, and ECOG PS. Comparative analyses against the pembrolizumab cohort will employ PS-matched Kaplan-Meier and weighted Cox models. Minimum registry size of 2,500 provides ≥90% power to detect a 1.5-fold increase in Grade ≥3 imAE rate (assumed 15% base rate at 24 months) at α=0.05 two-sided.</w:t>
      </w:r>
    </w:p>
    <w:p>
      <w:pPr>
        <w:spacing w:before="140" w:after="60" w:line="276"/>
        <w:jc w:val="both"/>
      </w:pPr>
      <w:r>
        <w:rPr>
          <w:rFonts w:ascii="Arial" w:cs="Arial" w:eastAsia="Arial" w:hAnsi="Arial"/>
          <w:b/>
          <w:bCs/>
          <w:color w:val="4A4A4A"/>
          <w:sz w:val="20"/>
          <w:szCs w:val="20"/>
        </w:rPr>
        <w:t xml:space="preserve">8.  Study Timeline — RWE-02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Protocol approval and site initiation (first 20 sites)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Q3 2026</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 site activation (80 sites)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Q1 2027</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Enrollment completion (3,000 patients)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2029</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12-month interim safety report to FDA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2027</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24-month interim report (DSMB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2028</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End of 5-year follow-up (last patient)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2034</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Final registry report to FDA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Q2 2035</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00" w:after="100" w:line="276"/>
        <w:jc w:val="both"/>
      </w:pPr>
      <w:r>
        <w:rPr>
          <w:rFonts w:ascii="Arial" w:cs="Arial" w:eastAsia="Arial" w:hAnsi="Arial"/>
          <w:b w:val="false"/>
          <w:bCs w:val="false"/>
          <w:i w:val="false"/>
          <w:iCs w:val="false"/>
          <w:color w:val="1A1A1A"/>
          <w:sz w:val="10"/>
          <w:szCs w:val="10"/>
        </w:rPr>
        <w:t xml:space="preserve"/>
      </w:r>
    </w:p>
    <w:p>
      <w:pPr>
        <w:pBdr>
          <w:bottom w:val="single" w:color="D6E4F0" w:sz="4" w:space="1"/>
        </w:pBdr>
        <w:spacing w:before="120" w:after="120"/>
      </w:pP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60"/>
              <w:left w:type="dxa" w:w="280"/>
              <w:bottom w:type="dxa" w:w="160"/>
              <w:right w:type="dxa" w:w="280"/>
            </w:tcMar>
          </w:tcPr>
          <w:p>
            <w:pPr>
              <w:jc w:val="center"/>
            </w:pPr>
            <w:r>
              <w:rPr>
                <w:rFonts w:ascii="Arial" w:cs="Arial" w:eastAsia="Arial" w:hAnsi="Arial"/>
                <w:b/>
                <w:bCs/>
                <w:color w:val="FFFFFF"/>
                <w:sz w:val="32"/>
                <w:szCs w:val="32"/>
              </w:rPr>
              <w:t xml:space="preserve">STUDY RWE-03</w:t>
            </w:r>
          </w:p>
          <w:p>
            <w:pPr>
              <w:jc w:val="center"/>
            </w:pPr>
            <w:r>
              <w:rPr>
                <w:rFonts w:ascii="Arial" w:cs="Arial" w:eastAsia="Arial" w:hAnsi="Arial"/>
                <w:i/>
                <w:iCs/>
                <w:color w:val="EF9A9A"/>
                <w:sz w:val="20"/>
                <w:szCs w:val="20"/>
              </w:rPr>
              <w:t xml:space="preserve">Healthcare Resource Utilization, Economic Burden, and Patient-Reported Outcomes Associated with Cervimab in Real-World dMMR/MSI-H mCRC</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Protocol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CERV-RWE-03</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Study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Retrospective claims-based cohort study (HCRU/Economics) + prospective PRO substudy (Quality of Life)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IBM MarketScan Commercial Claims  |  CMS Medicare FFS  |  CERV-REG PRO Module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Study Population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Cervimab-treated patients with dMMR/MSI-H mCRC vs. chemotherapy-treated controls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Primary 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All-cause total direct medical costs (HCRU) per patient-year; FACT-C total score change from baseline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Regulatory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Supports HEOR submissions to payers and comparative effectiveness reporting per ACA Section 6301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Follow-up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months post-index date (HCRU); 24 months (PRO substudy)</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3"/>
        <w:spacing w:before="160" w:after="80" w:line="276"/>
        <w:jc w:val="both"/>
      </w:pPr>
      <w:r>
        <w:rPr>
          <w:rFonts w:ascii="Arial" w:cs="Arial" w:eastAsia="Arial" w:hAnsi="Arial"/>
          <w:b/>
          <w:bCs/>
          <w:color w:val="2E6DA4"/>
          <w:sz w:val="20"/>
          <w:szCs w:val="20"/>
        </w:rPr>
        <w:t xml:space="preserve">Protocol Synopsis — RWE-03</w:t>
      </w:r>
    </w:p>
    <w:p>
      <w:pPr>
        <w:spacing w:before="140" w:after="60" w:line="276"/>
        <w:jc w:val="both"/>
      </w:pPr>
      <w:r>
        <w:rPr>
          <w:rFonts w:ascii="Arial" w:cs="Arial" w:eastAsia="Arial" w:hAnsi="Arial"/>
          <w:b/>
          <w:bCs/>
          <w:color w:val="4A4A4A"/>
          <w:sz w:val="20"/>
          <w:szCs w:val="20"/>
        </w:rPr>
        <w:t xml:space="preserve">1.  Background and Rationale</w:t>
      </w:r>
    </w:p>
    <w:p>
      <w:pPr>
        <w:spacing w:before="60" w:after="60" w:line="276"/>
        <w:jc w:val="both"/>
      </w:pPr>
      <w:r>
        <w:rPr>
          <w:rFonts w:ascii="Arial" w:cs="Arial" w:eastAsia="Arial" w:hAnsi="Arial"/>
          <w:b w:val="false"/>
          <w:bCs w:val="false"/>
          <w:i w:val="false"/>
          <w:iCs w:val="false"/>
          <w:color w:val="1A1A1A"/>
          <w:sz w:val="19"/>
          <w:szCs w:val="19"/>
        </w:rPr>
        <w:t xml:space="preserve">Post-launch health economics and outcomes research (HEOR) is essential to characterize the real-world economic value of Cervimab, inform US payer formulary and reimbursement decisions, and support value-based contracting arrangements with health systems. Payers require demonstration of cost-effectiveness and comparative HCRU in routine clinical practice beyond controlled trial settings. Simultaneously, capturing patient-reported outcomes (PROs) in the real-world setting bridges the gap between investigator-assessed clinical endpoints and patient-centered evidence requirements from the FDA and payers.</w:t>
      </w:r>
    </w:p>
    <w:p>
      <w:pPr>
        <w:spacing w:before="140" w:after="60" w:line="276"/>
        <w:jc w:val="both"/>
      </w:pPr>
      <w:r>
        <w:rPr>
          <w:rFonts w:ascii="Arial" w:cs="Arial" w:eastAsia="Arial" w:hAnsi="Arial"/>
          <w:b/>
          <w:bCs/>
          <w:color w:val="4A4A4A"/>
          <w:sz w:val="20"/>
          <w:szCs w:val="20"/>
        </w:rPr>
        <w:t xml:space="preserve">2.  Study Objectives</w:t>
      </w:r>
    </w:p>
    <w:p>
      <w:pPr>
        <w:pStyle w:val="ListParagraph"/>
        <w:numPr>
          <w:ilvl w:val="0"/>
          <w:numId w:val="2"/>
        </w:numPr>
        <w:spacing w:before="60" w:after="60"/>
      </w:pPr>
      <w:r>
        <w:rPr>
          <w:rFonts w:ascii="Arial" w:cs="Arial" w:eastAsia="Arial" w:hAnsi="Arial"/>
          <w:color w:val="1A1A1A"/>
          <w:sz w:val="19"/>
          <w:szCs w:val="19"/>
        </w:rPr>
        <w:t xml:space="preserve">Primary HCRU Objective: Compare all-cause and cancer-related total direct medical costs per patient-year between Cervimab and chemotherapy-treated (FOLFOX ± bevacizumab) patients in the 12 months following treatment initiation, using administrative claims data.</w:t>
      </w:r>
    </w:p>
    <w:p>
      <w:pPr>
        <w:pStyle w:val="ListParagraph"/>
        <w:numPr>
          <w:ilvl w:val="0"/>
          <w:numId w:val="2"/>
        </w:numPr>
        <w:spacing w:before="60" w:after="60"/>
      </w:pPr>
      <w:r>
        <w:rPr>
          <w:rFonts w:ascii="Arial" w:cs="Arial" w:eastAsia="Arial" w:hAnsi="Arial"/>
          <w:color w:val="1A1A1A"/>
          <w:sz w:val="19"/>
          <w:szCs w:val="19"/>
        </w:rPr>
        <w:t xml:space="preserve">Primary PRO Objective: Assess change from baseline in FACT-C total score at 6, 12, and 24 months in Cervimab-treated patients enrolled in the CERV-REG PRO module.</w:t>
      </w:r>
    </w:p>
    <w:p>
      <w:pPr>
        <w:pStyle w:val="ListParagraph"/>
        <w:numPr>
          <w:ilvl w:val="0"/>
          <w:numId w:val="2"/>
        </w:numPr>
        <w:spacing w:before="60" w:after="60"/>
      </w:pPr>
      <w:r>
        <w:rPr>
          <w:rFonts w:ascii="Arial" w:cs="Arial" w:eastAsia="Arial" w:hAnsi="Arial"/>
          <w:color w:val="1A1A1A"/>
          <w:sz w:val="19"/>
          <w:szCs w:val="19"/>
        </w:rPr>
        <w:t xml:space="preserve">Secondary Objectives: Characterize rates of outpatient infusion visits, inpatient admissions (any cause, imAE-related, cancer-related), emergency department (ED) visits, specialist referrals, and costs of corticosteroid/biologic management of imAEs.</w:t>
      </w:r>
    </w:p>
    <w:p>
      <w:pPr>
        <w:spacing w:before="140" w:after="60" w:line="276"/>
        <w:jc w:val="both"/>
      </w:pPr>
      <w:r>
        <w:rPr>
          <w:rFonts w:ascii="Arial" w:cs="Arial" w:eastAsia="Arial" w:hAnsi="Arial"/>
          <w:b/>
          <w:bCs/>
          <w:color w:val="4A4A4A"/>
          <w:sz w:val="20"/>
          <w:szCs w:val="20"/>
        </w:rPr>
        <w:t xml:space="preserve">3.  HCRU Claims Analysis Design</w:t>
      </w:r>
    </w:p>
    <w:p>
      <w:pPr>
        <w:spacing w:before="60" w:after="60" w:line="276"/>
        <w:jc w:val="both"/>
      </w:pPr>
      <w:r>
        <w:rPr>
          <w:rFonts w:ascii="Arial" w:cs="Arial" w:eastAsia="Arial" w:hAnsi="Arial"/>
          <w:b w:val="false"/>
          <w:bCs w:val="false"/>
          <w:i w:val="false"/>
          <w:iCs w:val="false"/>
          <w:color w:val="1A1A1A"/>
          <w:sz w:val="19"/>
          <w:szCs w:val="19"/>
        </w:rPr>
        <w:t xml:space="preserve">A retrospective, new-user active comparator cohort design will be applied to IBM MarketScan Commercial Claims (commercially insured, age 18–64) and CMS Medicare FFS claims (age ≥65). Patients with continuous enrollment for 12 months pre-index and at least 1 month post-index will be included. HCRU outcomes will be assessed over 12 months post-index. Generalized linear models (GLM) with gamma distribution and log link will be used for total cost comparisons. IPTW as described in the RWD-AP will address confounding. All costs will be inflation-adjusted to 2025 USD using the Consumer Price Index for medical care.</w:t>
      </w:r>
    </w:p>
    <w:p>
      <w:pPr>
        <w:spacing w:before="140" w:after="60" w:line="276"/>
        <w:jc w:val="both"/>
      </w:pPr>
      <w:r>
        <w:rPr>
          <w:rFonts w:ascii="Arial" w:cs="Arial" w:eastAsia="Arial" w:hAnsi="Arial"/>
          <w:b/>
          <w:bCs/>
          <w:color w:val="4A4A4A"/>
          <w:sz w:val="20"/>
          <w:szCs w:val="20"/>
        </w:rPr>
        <w:t xml:space="preserve">4.  PRO Substudy Design</w:t>
      </w:r>
    </w:p>
    <w:p>
      <w:pPr>
        <w:spacing w:before="60" w:after="60" w:line="276"/>
        <w:jc w:val="both"/>
      </w:pPr>
      <w:r>
        <w:rPr>
          <w:rFonts w:ascii="Arial" w:cs="Arial" w:eastAsia="Arial" w:hAnsi="Arial"/>
          <w:b w:val="false"/>
          <w:bCs w:val="false"/>
          <w:i w:val="false"/>
          <w:iCs w:val="false"/>
          <w:color w:val="1A1A1A"/>
          <w:sz w:val="19"/>
          <w:szCs w:val="19"/>
        </w:rPr>
        <w:t xml:space="preserve">The PRO substudy will leverage the CERV-REG infrastructure (Study RWE-02). All CERV-REG enrollees will be offered participation in the electronic PRO (ePRO) module using validated instruments: FACT-C (Functional Assessment of Cancer Therapy — Colorectal), EQ-5D-5L (generic HRQoL and health utility index), PROMIS Fatigue Short Form 8a, and the CRC-specific Gastrointestinal Symptom Rating Scale (GSRS-IBD). ePRO assessments will be administered via validated electronic platform at baseline, and at 3, 6, 12, 18, and 24 months. Missing data will be handled using multiple imputation (MI) with chained equations (MICE), assuming missing at random (MAR). Sensitivity analyses under missing not at random (MNAR) will be conducted using pattern-mixture models.</w:t>
      </w:r>
    </w:p>
    <w:p>
      <w:pPr>
        <w:spacing w:before="140" w:after="60" w:line="276"/>
        <w:jc w:val="both"/>
      </w:pPr>
      <w:r>
        <w:rPr>
          <w:rFonts w:ascii="Arial" w:cs="Arial" w:eastAsia="Arial" w:hAnsi="Arial"/>
          <w:b/>
          <w:bCs/>
          <w:color w:val="4A4A4A"/>
          <w:sz w:val="20"/>
          <w:szCs w:val="20"/>
        </w:rPr>
        <w:t xml:space="preserve">5.  Key Instruments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60"/>
        <w:gridCol w:w="260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 Instrument</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Domains</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MCID</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Schedule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FACT-C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Physical, social, emotional, functional well-being; CRC subscale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≥5–7 points total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Baseline, 3, 6, 12, 18, 24 mo</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EQ-5D-5L</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Mobility, self-care, activities, pain, anxiety; VAS</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≥0.07 utility units</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Baseline, 6, 12, 24 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PROMIS Fatigue-8a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Fatigue severity and interference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≥3–5 T-score 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Baseline, 3, 6, 12 mo</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GSRS-IBD</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Diarrhea, constipation, bloating, reflux, pain</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≥0.5 scale points</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Baseline, 3, 6, 12 mo</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40" w:after="60" w:line="276"/>
        <w:jc w:val="both"/>
      </w:pPr>
      <w:r>
        <w:rPr>
          <w:rFonts w:ascii="Arial" w:cs="Arial" w:eastAsia="Arial" w:hAnsi="Arial"/>
          <w:b/>
          <w:bCs/>
          <w:color w:val="4A4A4A"/>
          <w:sz w:val="20"/>
          <w:szCs w:val="20"/>
        </w:rPr>
        <w:t xml:space="preserve">6.  Budget Impact Modeling</w:t>
      </w:r>
    </w:p>
    <w:p>
      <w:pPr>
        <w:spacing w:before="60" w:after="60" w:line="276"/>
        <w:jc w:val="both"/>
      </w:pPr>
      <w:r>
        <w:rPr>
          <w:rFonts w:ascii="Arial" w:cs="Arial" w:eastAsia="Arial" w:hAnsi="Arial"/>
          <w:b w:val="false"/>
          <w:bCs w:val="false"/>
          <w:i w:val="false"/>
          <w:iCs w:val="false"/>
          <w:color w:val="1A1A1A"/>
          <w:sz w:val="19"/>
          <w:szCs w:val="19"/>
        </w:rPr>
        <w:t xml:space="preserve">A budget impact model (BIM) will be developed per ISPOR Good Practice guidelines to estimate the 3-year payer budget impact of Cervimab adoption from the perspective of a hypothetical US payer with 1 million covered lives. Inputs will be derived from the RWE-03 HCRU results, published epidemiology of dMMR/MSI-H mCRC incidence (estimated 4–5% of mCRC), and drug acquisition costs per publicly available list prices. Model transparency requirements (structured uncertainty analysis, scenario analyses) will follow AMCP Format v4.0.</w:t>
      </w:r>
    </w:p>
    <w:p>
      <w:pPr>
        <w:spacing w:before="140" w:after="60" w:line="276"/>
        <w:jc w:val="both"/>
      </w:pPr>
      <w:r>
        <w:rPr>
          <w:rFonts w:ascii="Arial" w:cs="Arial" w:eastAsia="Arial" w:hAnsi="Arial"/>
          <w:b/>
          <w:bCs/>
          <w:color w:val="4A4A4A"/>
          <w:sz w:val="20"/>
          <w:szCs w:val="20"/>
        </w:rPr>
        <w:t xml:space="preserve">7.  Study Timeline — RWE-03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Claims data access and DUA execution (MarketScan + CMS)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Q3 2026</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HCRU analysis data lock</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Q2 2027</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HCRU results and interim report to FDA/payers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2027</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CERV-REG PRO module launch (FACT-C, EQ-5D-5L)</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2026</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 12-month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2027</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 24-month final analysis and manuscript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Q4 2028</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Budget impact model publication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Q2 2028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DOCUMENT III — DATA USE AGREEMENT (DUA)</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Use Agreement — Real-World Data for Cervimab Post-Marketing Studies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DUA Reference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DUA-CERV-2026-001</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Upon execution by all parties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Agreement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Limited Data Set Data Use Agreement per 45 CFR 164.514(e)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Legal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HIPAA Privacy Rule (45 CFR Parts 160 and 164); 21 CFR Part 11; California CPRA (where applicable)</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60" w:after="60" w:line="276"/>
        <w:jc w:val="both"/>
      </w:pPr>
      <w:r>
        <w:rPr>
          <w:rFonts w:ascii="Arial" w:cs="Arial" w:eastAsia="Arial" w:hAnsi="Arial"/>
          <w:b w:val="false"/>
          <w:bCs w:val="false"/>
          <w:i w:val="false"/>
          <w:iCs w:val="false"/>
          <w:color w:val="1A1A1A"/>
          <w:sz w:val="19"/>
          <w:szCs w:val="19"/>
        </w:rPr>
        <w:t xml:space="preserve">This Data Use Agreement ("Agreement") is entered into as of the Effective Date by and among:</w:t>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PROVIDER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Provider Organization], a [state] corporation with principal offices at [Address] ("Data Provider" or "Covered Entity")</w:t>
            </w:r>
          </w:p>
        </w:tc>
      </w:tr>
      <w:tr>
        <w:tc>
          <w:tcPr>
            <w:tcW w:type="dxa" w:w="1800"/>
            <w:tcBorders>
              <w:top w:val="single" w:color="2E6DA4" w:sz="1"/>
              <w:left w:val="single" w:color="2E6DA4" w:sz="1"/>
              <w:bottom w:val="single" w:color="2E6DA4" w:sz="1"/>
              <w:right w:val="single" w:color="2E6DA4" w:sz="1"/>
            </w:tcBorders>
            <w:shd w:fill="2E6DA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RECIPIENT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Veridian Oncology, Inc., a Delaware corporation with principal offices at [Address] ("Sponsor" or "Data Recipient")</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RESEARCH PARTNER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[Contract Research Organization / Academic Research Center], [Address] ("Research Partner") (if applicable)</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1 — Definitions</w:t>
      </w:r>
    </w:p>
    <w:p>
      <w:pPr>
        <w:spacing w:before="60" w:after="60" w:line="276"/>
        <w:jc w:val="both"/>
      </w:pPr>
      <w:r>
        <w:rPr>
          <w:rFonts w:ascii="Arial" w:cs="Arial" w:eastAsia="Arial" w:hAnsi="Arial"/>
          <w:b w:val="false"/>
          <w:bCs w:val="false"/>
          <w:i w:val="false"/>
          <w:iCs w:val="false"/>
          <w:color w:val="1A1A1A"/>
          <w:sz w:val="19"/>
          <w:szCs w:val="19"/>
        </w:rPr>
        <w:t xml:space="preserve">1.1  "Data" or "Limited Data Set" means the health information provided by Data Provider under this Agreement, which has been de-identified in accordance with the HIPAA Expert Determination method (45 CFR 164.514(b)) or constitutes a Limited Data Set from which direct identifiers have been removed per 45 CFR 164.514(e)(2), and which may include dates (admission, discharge, procedure, birth year), geographic data at the zip code level, and other specified health information described in Exhibit A.</w:t>
      </w:r>
    </w:p>
    <w:p>
      <w:pPr>
        <w:spacing w:before="60" w:after="60" w:line="276"/>
        <w:jc w:val="both"/>
      </w:pPr>
      <w:r>
        <w:rPr>
          <w:rFonts w:ascii="Arial" w:cs="Arial" w:eastAsia="Arial" w:hAnsi="Arial"/>
          <w:b w:val="false"/>
          <w:bCs w:val="false"/>
          <w:i w:val="false"/>
          <w:iCs w:val="false"/>
          <w:color w:val="1A1A1A"/>
          <w:sz w:val="19"/>
          <w:szCs w:val="19"/>
        </w:rPr>
        <w:t xml:space="preserve">1.2  "Permitted Purpose" means the use of Data solely for the conduct of the Post-Marketing Real-World Evidence Studies identified in Exhibit A (Studies CERV-RWE-01, CERV-RWE-02, CERV-RWE-03) and associated regulatory submissions to the US FDA, peer-reviewed publication, and payer-facing evidence generation activities, as pre-specified in the respective study protocols.</w:t>
      </w:r>
    </w:p>
    <w:p>
      <w:pPr>
        <w:spacing w:before="60" w:after="60" w:line="276"/>
        <w:jc w:val="both"/>
      </w:pPr>
      <w:r>
        <w:rPr>
          <w:rFonts w:ascii="Arial" w:cs="Arial" w:eastAsia="Arial" w:hAnsi="Arial"/>
          <w:b w:val="false"/>
          <w:bCs w:val="false"/>
          <w:i w:val="false"/>
          <w:iCs w:val="false"/>
          <w:color w:val="1A1A1A"/>
          <w:sz w:val="19"/>
          <w:szCs w:val="19"/>
        </w:rPr>
        <w:t xml:space="preserve">1.3  "Authorized Users" means employees, contractors, and collaborators of Data Recipient and Research Partner who have a need to access the Data to fulfill the Permitted Purpose, have received HIPAA privacy training within the preceding 12 months, and have executed a Confidentiality and Non-Disclosure Agreement as detailed in Exhibit B.</w:t>
      </w:r>
    </w:p>
    <w:p>
      <w:pPr>
        <w:spacing w:before="60" w:after="60" w:line="276"/>
        <w:jc w:val="both"/>
      </w:pPr>
      <w:r>
        <w:rPr>
          <w:rFonts w:ascii="Arial" w:cs="Arial" w:eastAsia="Arial" w:hAnsi="Arial"/>
          <w:b w:val="false"/>
          <w:bCs w:val="false"/>
          <w:i w:val="false"/>
          <w:iCs w:val="false"/>
          <w:color w:val="1A1A1A"/>
          <w:sz w:val="19"/>
          <w:szCs w:val="19"/>
        </w:rPr>
        <w:t xml:space="preserve">1.4  "Breach" means any unauthorized acquisition, access, use, or disclosure of Data that compromises the security or privacy of the Data as defined under 45 CFR 164.402.</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2 — Permitted and Prohibited Uses</w:t>
      </w:r>
    </w:p>
    <w:p>
      <w:pPr>
        <w:pStyle w:val="Heading3"/>
        <w:spacing w:before="160" w:after="80" w:line="276"/>
        <w:jc w:val="both"/>
      </w:pPr>
      <w:r>
        <w:rPr>
          <w:rFonts w:ascii="Arial" w:cs="Arial" w:eastAsia="Arial" w:hAnsi="Arial"/>
          <w:b/>
          <w:bCs/>
          <w:color w:val="2E6DA4"/>
          <w:sz w:val="20"/>
          <w:szCs w:val="20"/>
        </w:rPr>
        <w:t xml:space="preserve">2.1  Permitted Uses</w:t>
      </w:r>
    </w:p>
    <w:p>
      <w:pPr>
        <w:pStyle w:val="ListParagraph"/>
        <w:numPr>
          <w:ilvl w:val="0"/>
          <w:numId w:val="2"/>
        </w:numPr>
        <w:spacing w:before="60" w:after="60"/>
      </w:pPr>
      <w:r>
        <w:rPr>
          <w:rFonts w:ascii="Arial" w:cs="Arial" w:eastAsia="Arial" w:hAnsi="Arial"/>
          <w:color w:val="1A1A1A"/>
          <w:sz w:val="19"/>
          <w:szCs w:val="19"/>
        </w:rPr>
        <w:t xml:space="preserve">Use the Data solely for the Permitted Purpose as defined in Section 1.2 and as further specified in the attached study protocols (Exhibit A).</w:t>
      </w:r>
    </w:p>
    <w:p>
      <w:pPr>
        <w:pStyle w:val="ListParagraph"/>
        <w:numPr>
          <w:ilvl w:val="0"/>
          <w:numId w:val="2"/>
        </w:numPr>
        <w:spacing w:before="60" w:after="60"/>
      </w:pPr>
      <w:r>
        <w:rPr>
          <w:rFonts w:ascii="Arial" w:cs="Arial" w:eastAsia="Arial" w:hAnsi="Arial"/>
          <w:color w:val="1A1A1A"/>
          <w:sz w:val="19"/>
          <w:szCs w:val="19"/>
        </w:rPr>
        <w:t xml:space="preserve">Disclose the Data to Authorized Users who need access to carry out the Permitted Purpose and who are bound by obligations consistent with this Agreement.</w:t>
      </w:r>
    </w:p>
    <w:p>
      <w:pPr>
        <w:pStyle w:val="ListParagraph"/>
        <w:numPr>
          <w:ilvl w:val="0"/>
          <w:numId w:val="2"/>
        </w:numPr>
        <w:spacing w:before="60" w:after="60"/>
      </w:pPr>
      <w:r>
        <w:rPr>
          <w:rFonts w:ascii="Arial" w:cs="Arial" w:eastAsia="Arial" w:hAnsi="Arial"/>
          <w:color w:val="1A1A1A"/>
          <w:sz w:val="19"/>
          <w:szCs w:val="19"/>
        </w:rPr>
        <w:t xml:space="preserve">Report aggregate, de-identified, or cell-suppressed results (minimum cell size n=11 per standard disclosure limitation) in regulatory submissions, manuscripts, conference presentations, and payer dossiers.</w:t>
      </w:r>
    </w:p>
    <w:p>
      <w:pPr>
        <w:pStyle w:val="ListParagraph"/>
        <w:numPr>
          <w:ilvl w:val="0"/>
          <w:numId w:val="2"/>
        </w:numPr>
        <w:spacing w:before="60" w:after="60"/>
      </w:pPr>
      <w:r>
        <w:rPr>
          <w:rFonts w:ascii="Arial" w:cs="Arial" w:eastAsia="Arial" w:hAnsi="Arial"/>
          <w:color w:val="1A1A1A"/>
          <w:sz w:val="19"/>
          <w:szCs w:val="19"/>
        </w:rPr>
        <w:t xml:space="preserve">Disclose the Data to the FDA as required by applicable regulatory obligations, including post-marketing commitment reports, NDA annual reports, and safety signal submissions, subject to prior written notice to Data Provider where legally permissible.</w:t>
      </w:r>
    </w:p>
    <w:p>
      <w:pPr>
        <w:pStyle w:val="Heading3"/>
        <w:spacing w:before="160" w:after="80" w:line="276"/>
        <w:jc w:val="both"/>
      </w:pPr>
      <w:r>
        <w:rPr>
          <w:rFonts w:ascii="Arial" w:cs="Arial" w:eastAsia="Arial" w:hAnsi="Arial"/>
          <w:b/>
          <w:bCs/>
          <w:color w:val="2E6DA4"/>
          <w:sz w:val="20"/>
          <w:szCs w:val="20"/>
        </w:rPr>
        <w:t xml:space="preserve">2.2  Prohibited Uses and Disclosures</w:t>
      </w:r>
    </w:p>
    <w:p>
      <w:pPr>
        <w:pStyle w:val="ListParagraph"/>
        <w:numPr>
          <w:ilvl w:val="0"/>
          <w:numId w:val="2"/>
        </w:numPr>
        <w:spacing w:before="60" w:after="60"/>
      </w:pPr>
      <w:r>
        <w:rPr>
          <w:rFonts w:ascii="Arial" w:cs="Arial" w:eastAsia="Arial" w:hAnsi="Arial"/>
          <w:color w:val="1A1A1A"/>
          <w:sz w:val="19"/>
          <w:szCs w:val="19"/>
        </w:rPr>
        <w:t xml:space="preserve">Data Recipient shall NOT use or disclose the Data for any purpose other than the Permitted Purpose without the prior written consent of Data Provider.</w:t>
      </w:r>
    </w:p>
    <w:p>
      <w:pPr>
        <w:pStyle w:val="ListParagraph"/>
        <w:numPr>
          <w:ilvl w:val="0"/>
          <w:numId w:val="2"/>
        </w:numPr>
        <w:spacing w:before="60" w:after="60"/>
      </w:pPr>
      <w:r>
        <w:rPr>
          <w:rFonts w:ascii="Arial" w:cs="Arial" w:eastAsia="Arial" w:hAnsi="Arial"/>
          <w:color w:val="1A1A1A"/>
          <w:sz w:val="19"/>
          <w:szCs w:val="19"/>
        </w:rPr>
        <w:t xml:space="preserve">Data Recipient shall NOT use the Data to contact, identify, or re-identify any individual patient, or attempt to link the Data to other data sources in a manner that could result in identification of individuals.</w:t>
      </w:r>
    </w:p>
    <w:p>
      <w:pPr>
        <w:pStyle w:val="ListParagraph"/>
        <w:numPr>
          <w:ilvl w:val="0"/>
          <w:numId w:val="2"/>
        </w:numPr>
        <w:spacing w:before="60" w:after="60"/>
      </w:pPr>
      <w:r>
        <w:rPr>
          <w:rFonts w:ascii="Arial" w:cs="Arial" w:eastAsia="Arial" w:hAnsi="Arial"/>
          <w:color w:val="1A1A1A"/>
          <w:sz w:val="19"/>
          <w:szCs w:val="19"/>
        </w:rPr>
        <w:t xml:space="preserve">Data Recipient shall NOT sell, license, transfer, or otherwise make the Data available to any third party (other than Research Partner as specified herein) without prior written approval of Data Provider.</w:t>
      </w:r>
    </w:p>
    <w:p>
      <w:pPr>
        <w:pStyle w:val="ListParagraph"/>
        <w:numPr>
          <w:ilvl w:val="0"/>
          <w:numId w:val="2"/>
        </w:numPr>
        <w:spacing w:before="60" w:after="60"/>
      </w:pPr>
      <w:r>
        <w:rPr>
          <w:rFonts w:ascii="Arial" w:cs="Arial" w:eastAsia="Arial" w:hAnsi="Arial"/>
          <w:color w:val="1A1A1A"/>
          <w:sz w:val="19"/>
          <w:szCs w:val="19"/>
        </w:rPr>
        <w:t xml:space="preserve">Data Recipient shall NOT use the Data for commercial marketing, targeted advertising, or competitive intelligence activities unrelated to the Permitted Purpose.</w:t>
      </w:r>
    </w:p>
    <w:p>
      <w:pPr>
        <w:pStyle w:val="ListParagraph"/>
        <w:numPr>
          <w:ilvl w:val="0"/>
          <w:numId w:val="2"/>
        </w:numPr>
        <w:spacing w:before="60" w:after="60"/>
      </w:pPr>
      <w:r>
        <w:rPr>
          <w:rFonts w:ascii="Arial" w:cs="Arial" w:eastAsia="Arial" w:hAnsi="Arial"/>
          <w:color w:val="1A1A1A"/>
          <w:sz w:val="19"/>
          <w:szCs w:val="19"/>
        </w:rPr>
        <w:t xml:space="preserve">Data Recipient shall NOT use the Data to train, fine-tune, or validate artificial intelligence or machine learning models beyond the scope of the pre-specified analyses in the attached study protocols, unless a written amendment to this Agreement is executed.</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3 — Data Security Requirements</w:t>
      </w:r>
    </w:p>
    <w:p>
      <w:pPr>
        <w:spacing w:before="60" w:after="60" w:line="276"/>
        <w:jc w:val="both"/>
      </w:pPr>
      <w:r>
        <w:rPr>
          <w:rFonts w:ascii="Arial" w:cs="Arial" w:eastAsia="Arial" w:hAnsi="Arial"/>
          <w:b w:val="false"/>
          <w:bCs w:val="false"/>
          <w:i w:val="false"/>
          <w:iCs w:val="false"/>
          <w:color w:val="1A1A1A"/>
          <w:sz w:val="19"/>
          <w:szCs w:val="19"/>
        </w:rPr>
        <w:t xml:space="preserve">3.1  Data Recipient shall maintain administrative, physical, and technical safeguards that reasonably and appropriately protect the confidentiality, integrity, and availability of the Data, consistent with HIPAA Security Rule requirements (45 CFR Part 164 Subpart C) and NIST SP 800-53 Rev. 5 moderate baseline controls.</w:t>
      </w:r>
    </w:p>
    <w:p>
      <w:pPr>
        <w:spacing w:before="60" w:after="60" w:line="276"/>
        <w:jc w:val="both"/>
      </w:pPr>
      <w:r>
        <w:rPr>
          <w:rFonts w:ascii="Arial" w:cs="Arial" w:eastAsia="Arial" w:hAnsi="Arial"/>
          <w:b w:val="false"/>
          <w:bCs w:val="false"/>
          <w:i w:val="false"/>
          <w:iCs w:val="false"/>
          <w:color w:val="1A1A1A"/>
          <w:sz w:val="19"/>
          <w:szCs w:val="19"/>
        </w:rPr>
        <w:t xml:space="preserve">3.2  All Data shall be processed and stored in secure analytical environments that are: (a) access-controlled with role-based permissions and multi-factor authentication; (b) encrypted at rest (AES-256) and in transit (TLS 1.2 or higher); (c) subject to audit logging and intrusion detection monitoring; (d) compliant with 21 CFR Part 11 electronic records requirements for regulated submissions.</w:t>
      </w:r>
    </w:p>
    <w:p>
      <w:pPr>
        <w:spacing w:before="60" w:after="60" w:line="276"/>
        <w:jc w:val="both"/>
      </w:pPr>
      <w:r>
        <w:rPr>
          <w:rFonts w:ascii="Arial" w:cs="Arial" w:eastAsia="Arial" w:hAnsi="Arial"/>
          <w:b w:val="false"/>
          <w:bCs w:val="false"/>
          <w:i w:val="false"/>
          <w:iCs w:val="false"/>
          <w:color w:val="1A1A1A"/>
          <w:sz w:val="19"/>
          <w:szCs w:val="19"/>
        </w:rPr>
        <w:t xml:space="preserve">3.3  Data shall not be stored on portable devices, personal computers, or cloud storage services not approved by Data Recipient's Information Security function. Approved cloud environments include HIPAA Business Associate Agreement (BAA)-covered instances of [Amazon AWS GovCloud / Microsoft Azure for Healthcare / Google Cloud Healthcare API] as specified in Exhibit C.</w:t>
      </w:r>
    </w:p>
    <w:p>
      <w:pPr>
        <w:spacing w:before="60" w:after="60" w:line="276"/>
        <w:jc w:val="both"/>
      </w:pPr>
      <w:r>
        <w:rPr>
          <w:rFonts w:ascii="Arial" w:cs="Arial" w:eastAsia="Arial" w:hAnsi="Arial"/>
          <w:b w:val="false"/>
          <w:bCs w:val="false"/>
          <w:i w:val="false"/>
          <w:iCs w:val="false"/>
          <w:color w:val="1A1A1A"/>
          <w:sz w:val="19"/>
          <w:szCs w:val="19"/>
        </w:rPr>
        <w:t xml:space="preserve">3.4  Data Recipient shall maintain a written data inventory documenting all locations where Data are stored, all Authorized Users with access credentials, and access log retention for a minimum of six (6) years from the date of creation.</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4 — Breach Notification</w:t>
      </w:r>
    </w:p>
    <w:p>
      <w:pPr>
        <w:spacing w:before="60" w:after="60" w:line="276"/>
        <w:jc w:val="both"/>
      </w:pPr>
      <w:r>
        <w:rPr>
          <w:rFonts w:ascii="Arial" w:cs="Arial" w:eastAsia="Arial" w:hAnsi="Arial"/>
          <w:b w:val="false"/>
          <w:bCs w:val="false"/>
          <w:i w:val="false"/>
          <w:iCs w:val="false"/>
          <w:color w:val="1A1A1A"/>
          <w:sz w:val="19"/>
          <w:szCs w:val="19"/>
        </w:rPr>
        <w:t xml:space="preserve">4.1  Data Recipient shall report to Data Provider any Breach of unsecured Data, or any security incident that presents a reasonable risk of Breach, without unreasonable delay and in no case later than thirty (30) calendar days of Data Recipient's discovery of the Breach, consistent with 45 CFR 164.412.</w:t>
      </w:r>
    </w:p>
    <w:p>
      <w:pPr>
        <w:spacing w:before="60" w:after="60" w:line="276"/>
        <w:jc w:val="both"/>
      </w:pPr>
      <w:r>
        <w:rPr>
          <w:rFonts w:ascii="Arial" w:cs="Arial" w:eastAsia="Arial" w:hAnsi="Arial"/>
          <w:b w:val="false"/>
          <w:bCs w:val="false"/>
          <w:i w:val="false"/>
          <w:iCs w:val="false"/>
          <w:color w:val="1A1A1A"/>
          <w:sz w:val="19"/>
          <w:szCs w:val="19"/>
        </w:rPr>
        <w:t xml:space="preserve">4.2  Such notification shall include, to the extent available: (a) a description of the Breach; (b) the types of information involved; (c) the identity of individuals affected (if determinable); (d) steps taken to mitigate harm; and (e) steps taken to prevent future occurrences.</w:t>
      </w:r>
    </w:p>
    <w:p>
      <w:pPr>
        <w:spacing w:before="60" w:after="60" w:line="276"/>
        <w:jc w:val="both"/>
      </w:pPr>
      <w:r>
        <w:rPr>
          <w:rFonts w:ascii="Arial" w:cs="Arial" w:eastAsia="Arial" w:hAnsi="Arial"/>
          <w:b w:val="false"/>
          <w:bCs w:val="false"/>
          <w:i w:val="false"/>
          <w:iCs w:val="false"/>
          <w:color w:val="1A1A1A"/>
          <w:sz w:val="19"/>
          <w:szCs w:val="19"/>
        </w:rPr>
        <w:t xml:space="preserve">4.3  Data Recipient shall cooperate fully with Data Provider in any regulatory notification obligations to the US Department of Health and Human Services (HHS) Office for Civil Rights (OCR) arising from the Breach.</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5 — Data Retention and Destruction</w:t>
      </w:r>
    </w:p>
    <w:p>
      <w:pPr>
        <w:spacing w:before="60" w:after="60" w:line="276"/>
        <w:jc w:val="both"/>
      </w:pPr>
      <w:r>
        <w:rPr>
          <w:rFonts w:ascii="Arial" w:cs="Arial" w:eastAsia="Arial" w:hAnsi="Arial"/>
          <w:b w:val="false"/>
          <w:bCs w:val="false"/>
          <w:i w:val="false"/>
          <w:iCs w:val="false"/>
          <w:color w:val="1A1A1A"/>
          <w:sz w:val="19"/>
          <w:szCs w:val="19"/>
        </w:rPr>
        <w:t xml:space="preserve">5.1  Data Recipient shall retain the Data only for as long as necessary to fulfill the Permitted Purpose. The retention schedule shall not exceed: (a) ten (10) years from the date of initial data receipt for data supporting regulatory submissions per 21 CFR 312.62; or (b) five (5) years after completion of the final study report, whichever is longer.</w:t>
      </w:r>
    </w:p>
    <w:p>
      <w:pPr>
        <w:spacing w:before="60" w:after="60" w:line="276"/>
        <w:jc w:val="both"/>
      </w:pPr>
      <w:r>
        <w:rPr>
          <w:rFonts w:ascii="Arial" w:cs="Arial" w:eastAsia="Arial" w:hAnsi="Arial"/>
          <w:b w:val="false"/>
          <w:bCs w:val="false"/>
          <w:i w:val="false"/>
          <w:iCs w:val="false"/>
          <w:color w:val="1A1A1A"/>
          <w:sz w:val="19"/>
          <w:szCs w:val="19"/>
        </w:rPr>
        <w:t xml:space="preserve">5.2  Upon expiration or termination of this Agreement, or upon written request by Data Provider, Data Recipient shall destroy or return all copies of the Data (including backup copies) within sixty (60) calendar days, and shall provide written certification of destruction using NIST SP 800-88 media sanitization guidelines.</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6 — Publication and Attribution</w:t>
      </w:r>
    </w:p>
    <w:p>
      <w:pPr>
        <w:spacing w:before="60" w:after="60" w:line="276"/>
        <w:jc w:val="both"/>
      </w:pPr>
      <w:r>
        <w:rPr>
          <w:rFonts w:ascii="Arial" w:cs="Arial" w:eastAsia="Arial" w:hAnsi="Arial"/>
          <w:b w:val="false"/>
          <w:bCs w:val="false"/>
          <w:i w:val="false"/>
          <w:iCs w:val="false"/>
          <w:color w:val="1A1A1A"/>
          <w:sz w:val="19"/>
          <w:szCs w:val="19"/>
        </w:rPr>
        <w:t xml:space="preserve">6.1  Data Recipient shall provide Data Provider with a copy of any manuscript, abstract, or regulatory submission containing results derived from the Data at least thirty (30) calendar days prior to submission, for review of (a) potential re-identification risk and (b) accuracy of Data description.</w:t>
      </w:r>
    </w:p>
    <w:p>
      <w:pPr>
        <w:spacing w:before="60" w:after="60" w:line="276"/>
        <w:jc w:val="both"/>
      </w:pPr>
      <w:r>
        <w:rPr>
          <w:rFonts w:ascii="Arial" w:cs="Arial" w:eastAsia="Arial" w:hAnsi="Arial"/>
          <w:b w:val="false"/>
          <w:bCs w:val="false"/>
          <w:i w:val="false"/>
          <w:iCs w:val="false"/>
          <w:color w:val="1A1A1A"/>
          <w:sz w:val="19"/>
          <w:szCs w:val="19"/>
        </w:rPr>
        <w:t xml:space="preserve">6.2  Data Provider shall have the right to request removal of any content that, in its reasonable judgment, could re-identify individuals or misrepresent the Data. Data Provider shall not have the right to delay or suppress publication of scientific findings for commercial reasons.</w:t>
      </w:r>
    </w:p>
    <w:p>
      <w:pPr>
        <w:spacing w:before="60" w:after="60" w:line="276"/>
        <w:jc w:val="both"/>
      </w:pPr>
      <w:r>
        <w:rPr>
          <w:rFonts w:ascii="Arial" w:cs="Arial" w:eastAsia="Arial" w:hAnsi="Arial"/>
          <w:b w:val="false"/>
          <w:bCs w:val="false"/>
          <w:i w:val="false"/>
          <w:iCs w:val="false"/>
          <w:color w:val="1A1A1A"/>
          <w:sz w:val="19"/>
          <w:szCs w:val="19"/>
        </w:rPr>
        <w:t xml:space="preserve">6.3  Publications shall acknowledge the Data Provider using the standard attribution language specified in Exhibit D, consistent with ICMJE authorship criteria and FDA transparency requirements.</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7 — Term and Termination</w:t>
      </w:r>
    </w:p>
    <w:p>
      <w:pPr>
        <w:spacing w:before="60" w:after="60" w:line="276"/>
        <w:jc w:val="both"/>
      </w:pPr>
      <w:r>
        <w:rPr>
          <w:rFonts w:ascii="Arial" w:cs="Arial" w:eastAsia="Arial" w:hAnsi="Arial"/>
          <w:b w:val="false"/>
          <w:bCs w:val="false"/>
          <w:i w:val="false"/>
          <w:iCs w:val="false"/>
          <w:color w:val="1A1A1A"/>
          <w:sz w:val="19"/>
          <w:szCs w:val="19"/>
        </w:rPr>
        <w:t xml:space="preserve">7.1  This Agreement shall commence on the Effective Date and shall remain in force for five (5) years, unless earlier terminated. Either party may terminate upon sixty (60) days written notice. Data Provider may terminate immediately upon material breach by Data Recipient that is not cured within thirty (30) days of written notice.</w:t>
      </w:r>
    </w:p>
    <w:p>
      <w:pPr>
        <w:spacing w:before="60" w:after="60" w:line="276"/>
        <w:jc w:val="both"/>
      </w:pPr>
      <w:r>
        <w:rPr>
          <w:rFonts w:ascii="Arial" w:cs="Arial" w:eastAsia="Arial" w:hAnsi="Arial"/>
          <w:b w:val="false"/>
          <w:bCs w:val="false"/>
          <w:i w:val="false"/>
          <w:iCs w:val="false"/>
          <w:color w:val="1A1A1A"/>
          <w:sz w:val="19"/>
          <w:szCs w:val="19"/>
        </w:rPr>
        <w:t xml:space="preserve">7.2  Termination shall not affect any rights or obligations arising prior to the termination date. Articles 2.2, 3, 4, 5, and 6 shall survive termination.</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8 — Governing Law and Dispute Resolution</w:t>
      </w:r>
    </w:p>
    <w:p>
      <w:pPr>
        <w:spacing w:before="60" w:after="60" w:line="276"/>
        <w:jc w:val="both"/>
      </w:pPr>
      <w:r>
        <w:rPr>
          <w:rFonts w:ascii="Arial" w:cs="Arial" w:eastAsia="Arial" w:hAnsi="Arial"/>
          <w:b w:val="false"/>
          <w:bCs w:val="false"/>
          <w:i w:val="false"/>
          <w:iCs w:val="false"/>
          <w:color w:val="1A1A1A"/>
          <w:sz w:val="19"/>
          <w:szCs w:val="19"/>
        </w:rPr>
        <w:t xml:space="preserve">8.1  This Agreement shall be governed by the laws of the State of Delaware, without regard to conflicts of law principles. Any dispute arising under this Agreement that cannot be resolved through good-faith negotiation within forty-five (45) days shall be submitted to binding arbitration administered by JAMS under its Streamlined Arbitration Rules and Procedures.</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Article 9 — Execution</w:t>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 DATA PROVIDER</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 DATA RECIPIENT (VERIDIAN ONCOLOGY, INC.)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Signature: 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Signature: _____________________________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Printed Name: 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Printed Name: 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Title: __________________________________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Title: __________________________________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 ___________________________________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 ___________________________________</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00" w:after="100" w:line="276"/>
        <w:jc w:val="both"/>
      </w:pPr>
      <w:r>
        <w:rPr>
          <w:rFonts w:ascii="Arial" w:cs="Arial" w:eastAsia="Arial" w:hAnsi="Arial"/>
          <w:b w:val="false"/>
          <w:bCs w:val="false"/>
          <w:i w:val="false"/>
          <w:iCs w:val="false"/>
          <w:color w:val="1A1A1A"/>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DOCUMENT IV — IRB / ETHICS COMMITTEE APPROVAL — PROTOCOL SUBMISSION</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Submission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Western Institutional Review Board (WIRB) — Copernicus Group  |  Plus local IRBs at participating sites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IRB Submission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Board Review (RWE-02 Registry)  |  Expedited Review (RWE-01, RWE-03)  |  Exemption Determination (RWD-AP)</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Sponsor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Veridian Oncology, Inc.</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PI (Central)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 MD/PhD], Department of Medical Oncology, [Institution]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Protocol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  |  March 2026</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FWA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FWA-CERV-2026-XXXX (to be assigned upon registration)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Regulatory Basis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 CFR Part 56; 45 CFR Part 46 (Common Rule); ICH E6(R3) GCP; FDA Guidance: IRB Responsibilities (2023)</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Section A — Submission Summary and Study Classification</w:t>
      </w:r>
    </w:p>
    <w:p>
      <w:pPr>
        <w:spacing w:before="60" w:after="60" w:line="276"/>
        <w:jc w:val="both"/>
      </w:pPr>
      <w:r>
        <w:rPr>
          <w:rFonts w:ascii="Arial" w:cs="Arial" w:eastAsia="Arial" w:hAnsi="Arial"/>
          <w:b w:val="false"/>
          <w:bCs w:val="false"/>
          <w:i w:val="false"/>
          <w:iCs w:val="false"/>
          <w:color w:val="1A1A1A"/>
          <w:sz w:val="19"/>
          <w:szCs w:val="19"/>
        </w:rPr>
        <w:t xml:space="preserve">Veridian Oncology, Inc. hereby submits to the Institutional Review Board / Independent Ethics Committee (IRB/IEC) the following post-marketing real-world evidence studies for Cervimab (CVM-101) for ethical review and approval consideration. The studies are classified as follows:</w:t>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1560"/>
        <w:gridCol w:w="160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Study</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 (Abbreviated)</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Study Category</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Category</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Proposed Review 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RWD-AP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Real-World Data Analysis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Non-interventional; retrospective EHR/claims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Exempt — 45 CFR 46.104(d)(4)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Exemption Determination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RWE-01</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Comparative Effectiveness Study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Non-interventional; retrospective observational</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Exempt — 45 CFR 46.104(d)(4) or Expedited Cat. 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Expedited Review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RWE-02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Long-Term Safety Registry (CERV-REG)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Prospective; minimal-risk; biospecimen substudy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 Board — prospective enrollment, biospecimens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Full Board Review</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RWE-03</w:t>
            </w:r>
          </w:p>
        </w:tc>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HCRU / PRO Study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Retrospective claims + prospective PRO (linked to RWE-02)</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Expedited Cat. 7 (PRO); Exempt (claims)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Expedited / Exempt</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Section B — Human Subjects Protections</w:t>
      </w:r>
    </w:p>
    <w:p>
      <w:pPr>
        <w:pStyle w:val="Heading3"/>
        <w:spacing w:before="160" w:after="80" w:line="276"/>
        <w:jc w:val="both"/>
      </w:pPr>
      <w:r>
        <w:rPr>
          <w:rFonts w:ascii="Arial" w:cs="Arial" w:eastAsia="Arial" w:hAnsi="Arial"/>
          <w:b/>
          <w:bCs/>
          <w:color w:val="2E6DA4"/>
          <w:sz w:val="20"/>
          <w:szCs w:val="20"/>
        </w:rPr>
        <w:t xml:space="preserve">B.1  Informed Consent</w:t>
      </w:r>
    </w:p>
    <w:p>
      <w:pPr>
        <w:spacing w:before="60" w:after="60" w:line="276"/>
        <w:jc w:val="both"/>
      </w:pPr>
      <w:r>
        <w:rPr>
          <w:rFonts w:ascii="Arial" w:cs="Arial" w:eastAsia="Arial" w:hAnsi="Arial"/>
          <w:b w:val="false"/>
          <w:bCs w:val="false"/>
          <w:i w:val="false"/>
          <w:iCs w:val="false"/>
          <w:color w:val="1A1A1A"/>
          <w:sz w:val="19"/>
          <w:szCs w:val="19"/>
        </w:rPr>
        <w:t xml:space="preserve">Studies RWD-AP and RWE-01 utilize pre-existing, de-identified or limited data sets. These studies do not involve prospective contact with human subjects and are therefore eligible for a Waiver of Informed Consent under 45 CFR 46.116(f) and 21 CFR 56.109(c). The Sponsor certifies that: (1) the waiver will not adversely affect the rights and welfare of subjects; (2) the research could not practicably be carried out without the waiver; (3) the research involves no more than minimal risk; and (4) whenever appropriate, subjects will be provided with additional pertinent information after participation.</w:t>
      </w:r>
    </w:p>
    <w:p>
      <w:pPr>
        <w:spacing w:before="60" w:after="60" w:line="276"/>
        <w:jc w:val="both"/>
      </w:pPr>
      <w:r>
        <w:rPr>
          <w:rFonts w:ascii="Arial" w:cs="Arial" w:eastAsia="Arial" w:hAnsi="Arial"/>
          <w:b w:val="false"/>
          <w:bCs w:val="false"/>
          <w:i w:val="false"/>
          <w:iCs w:val="false"/>
          <w:color w:val="1A1A1A"/>
          <w:sz w:val="19"/>
          <w:szCs w:val="19"/>
        </w:rPr>
        <w:t xml:space="preserve">Study RWE-02 (CERV-REG) involves prospective enrollment of identifiable human subjects and collection of biospecimens. Informed consent will be obtained from all CERV-REG participants prior to enrollment. The consent process will include a full explanation of: (a) study purpose and duration; (b) data elements collected and data sharing practices; (c) voluntary participation and right to withdraw without penalty; (d) potential risks (minimal — no investigational intervention administered); (e) potential benefits (contribution to knowledge; access to study results); (f) confidentiality protections; (g) contact information for the PI and for the IRB.</w:t>
      </w:r>
    </w:p>
    <w:p>
      <w:pPr>
        <w:spacing w:before="60" w:after="60" w:line="276"/>
        <w:jc w:val="both"/>
      </w:pPr>
      <w:r>
        <w:rPr>
          <w:rFonts w:ascii="Arial" w:cs="Arial" w:eastAsia="Arial" w:hAnsi="Arial"/>
          <w:b w:val="false"/>
          <w:bCs w:val="false"/>
          <w:i w:val="false"/>
          <w:iCs w:val="false"/>
          <w:color w:val="1A1A1A"/>
          <w:sz w:val="19"/>
          <w:szCs w:val="19"/>
        </w:rPr>
        <w:t xml:space="preserve">Consent forms will be provided in English and, where applicable at multi-lingual sites, in Spanish, Mandarin Chinese, and other languages per site demographics and IRB requirements. A short-form consent process per 21 CFR 50.27(b)(2) may be utilized for eligible participants with limited English proficiency.</w:t>
      </w:r>
    </w:p>
    <w:p>
      <w:pPr>
        <w:pStyle w:val="Heading3"/>
        <w:spacing w:before="160" w:after="80" w:line="276"/>
        <w:jc w:val="both"/>
      </w:pPr>
      <w:r>
        <w:rPr>
          <w:rFonts w:ascii="Arial" w:cs="Arial" w:eastAsia="Arial" w:hAnsi="Arial"/>
          <w:b/>
          <w:bCs/>
          <w:color w:val="2E6DA4"/>
          <w:sz w:val="20"/>
          <w:szCs w:val="20"/>
        </w:rPr>
        <w:t xml:space="preserve">B.2  Risk-Benefit Assessment</w:t>
      </w:r>
    </w:p>
    <w:p>
      <w:pPr>
        <w:spacing w:before="60" w:after="60" w:line="276"/>
        <w:jc w:val="both"/>
      </w:pPr>
      <w:r>
        <w:rPr>
          <w:rFonts w:ascii="Arial" w:cs="Arial" w:eastAsia="Arial" w:hAnsi="Arial"/>
          <w:b w:val="false"/>
          <w:bCs w:val="false"/>
          <w:i w:val="false"/>
          <w:iCs w:val="false"/>
          <w:color w:val="1A1A1A"/>
          <w:sz w:val="19"/>
          <w:szCs w:val="19"/>
        </w:rPr>
        <w:t xml:space="preserve">The risks associated with all four studies are classified as minimal risk per 45 CFR 46.102(j), defined as risks that are no greater in and of themselves than those ordinarily encountered in daily life or during routine physical or psychological examinations or tests. Specifically:</w:t>
      </w:r>
    </w:p>
    <w:p>
      <w:pPr>
        <w:pStyle w:val="ListParagraph"/>
        <w:numPr>
          <w:ilvl w:val="0"/>
          <w:numId w:val="2"/>
        </w:numPr>
        <w:spacing w:before="60" w:after="60"/>
      </w:pPr>
      <w:r>
        <w:rPr>
          <w:rFonts w:ascii="Arial" w:cs="Arial" w:eastAsia="Arial" w:hAnsi="Arial"/>
          <w:color w:val="1A1A1A"/>
          <w:sz w:val="19"/>
          <w:szCs w:val="19"/>
        </w:rPr>
        <w:t xml:space="preserve">Retrospective data studies (RWD-AP, RWE-01, RWE-03 claims component): No direct contact with subjects; risk limited to potential privacy breach, mitigated by robust data security measures described in the Data Use Agreement and Section B.3 below.</w:t>
      </w:r>
    </w:p>
    <w:p>
      <w:pPr>
        <w:pStyle w:val="ListParagraph"/>
        <w:numPr>
          <w:ilvl w:val="0"/>
          <w:numId w:val="2"/>
        </w:numPr>
        <w:spacing w:before="60" w:after="60"/>
      </w:pPr>
      <w:r>
        <w:rPr>
          <w:rFonts w:ascii="Arial" w:cs="Arial" w:eastAsia="Arial" w:hAnsi="Arial"/>
          <w:color w:val="1A1A1A"/>
          <w:sz w:val="19"/>
          <w:szCs w:val="19"/>
        </w:rPr>
        <w:t xml:space="preserve">Prospective registry (RWE-02): No investigational therapy administered; risks limited to time burden of PRO questionnaire completion (estimated 15–20 minutes per assessment) and potential psychological discomfort from health-status questions. Blood draw risks (bruising, discomfort) for biospecimen substudy are standard phlebotomy risks. No physical examinations beyond standard of care will be performed.</w:t>
      </w:r>
    </w:p>
    <w:p>
      <w:pPr>
        <w:spacing w:before="60" w:after="60" w:line="276"/>
        <w:jc w:val="both"/>
      </w:pPr>
      <w:r>
        <w:rPr>
          <w:rFonts w:ascii="Arial" w:cs="Arial" w:eastAsia="Arial" w:hAnsi="Arial"/>
          <w:b w:val="false"/>
          <w:bCs w:val="false"/>
          <w:i w:val="false"/>
          <w:iCs w:val="false"/>
          <w:color w:val="1A1A1A"/>
          <w:sz w:val="19"/>
          <w:szCs w:val="19"/>
        </w:rPr>
        <w:t xml:space="preserve">Potential benefits include generation of knowledge applicable to the treatment of future dMMR/MSI-H mCRC patients, refinement of toxicity management algorithms, and PRO data that may directly inform clinical practice improvements. The benefit-to-risk ratio is favorable.</w:t>
      </w:r>
    </w:p>
    <w:p>
      <w:pPr>
        <w:pStyle w:val="Heading3"/>
        <w:spacing w:before="160" w:after="80" w:line="276"/>
        <w:jc w:val="both"/>
      </w:pPr>
      <w:r>
        <w:rPr>
          <w:rFonts w:ascii="Arial" w:cs="Arial" w:eastAsia="Arial" w:hAnsi="Arial"/>
          <w:b/>
          <w:bCs/>
          <w:color w:val="2E6DA4"/>
          <w:sz w:val="20"/>
          <w:szCs w:val="20"/>
        </w:rPr>
        <w:t xml:space="preserve">B.3  Privacy and Confidentiality</w:t>
      </w:r>
    </w:p>
    <w:p>
      <w:pPr>
        <w:spacing w:before="60" w:after="60" w:line="276"/>
        <w:jc w:val="both"/>
      </w:pPr>
      <w:r>
        <w:rPr>
          <w:rFonts w:ascii="Arial" w:cs="Arial" w:eastAsia="Arial" w:hAnsi="Arial"/>
          <w:b w:val="false"/>
          <w:bCs w:val="false"/>
          <w:i w:val="false"/>
          <w:iCs w:val="false"/>
          <w:color w:val="1A1A1A"/>
          <w:sz w:val="19"/>
          <w:szCs w:val="19"/>
        </w:rPr>
        <w:t xml:space="preserve">All data will be handled in accordance with HIPAA Privacy Rule requirements. De-identification protocols for retrospective studies have been reviewed by a qualified HIPAA Privacy Expert per 45 CFR 164.514(b). CERV-REG participant data will be stored in a 21 CFR Part 11-compliant, encrypted clinical data management system (CDMS) with role-based access controls, audit trails, and disaster recovery procedures. Study IDs (not names or other direct identifiers) will link records across data systems.</w:t>
      </w:r>
    </w:p>
    <w:p>
      <w:pPr>
        <w:spacing w:before="60" w:after="60" w:line="276"/>
        <w:jc w:val="both"/>
      </w:pPr>
      <w:r>
        <w:rPr>
          <w:rFonts w:ascii="Arial" w:cs="Arial" w:eastAsia="Arial" w:hAnsi="Arial"/>
          <w:b w:val="false"/>
          <w:bCs w:val="false"/>
          <w:i w:val="false"/>
          <w:iCs w:val="false"/>
          <w:color w:val="1A1A1A"/>
          <w:sz w:val="19"/>
          <w:szCs w:val="19"/>
        </w:rPr>
        <w:t xml:space="preserve">A Certificate of Confidentiality (CoC) will be sought from the National Institutes of Health (NIH) for CERV-REG to provide additional legal protection against compelled disclosure of participant identities. Data access for secondary use beyond the Permitted Purpose will require a separate data request process with IRB review.</w:t>
      </w:r>
    </w:p>
    <w:p>
      <w:pPr>
        <w:pStyle w:val="Heading3"/>
        <w:spacing w:before="160" w:after="80" w:line="276"/>
        <w:jc w:val="both"/>
      </w:pPr>
      <w:r>
        <w:rPr>
          <w:rFonts w:ascii="Arial" w:cs="Arial" w:eastAsia="Arial" w:hAnsi="Arial"/>
          <w:b/>
          <w:bCs/>
          <w:color w:val="2E6DA4"/>
          <w:sz w:val="20"/>
          <w:szCs w:val="20"/>
        </w:rPr>
        <w:t xml:space="preserve">B.4  Equity, Inclusion, and Vulnerable Populations</w:t>
      </w:r>
    </w:p>
    <w:p>
      <w:pPr>
        <w:spacing w:before="60" w:after="60" w:line="276"/>
        <w:jc w:val="both"/>
      </w:pPr>
      <w:r>
        <w:rPr>
          <w:rFonts w:ascii="Arial" w:cs="Arial" w:eastAsia="Arial" w:hAnsi="Arial"/>
          <w:b w:val="false"/>
          <w:bCs w:val="false"/>
          <w:i w:val="false"/>
          <w:iCs w:val="false"/>
          <w:color w:val="1A1A1A"/>
          <w:sz w:val="19"/>
          <w:szCs w:val="19"/>
        </w:rPr>
        <w:t xml:space="preserve">Consistent with the NIH Policy on Inclusion (and FDA's 2020 Action Plan to Enhance Diversity in Clinical Trials), the CERV-REG protocol includes specific enrollment targets for historically underrepresented groups: racial and ethnic minorities (minimum 30% of enrollment), women (minimum 40%), elderly patients ≥75 years (minimum 15%), and patients with ECOG PS ≥2 (minimum 10%). Site selection will prioritize geographic diversity (rural and urban; Southeast, Midwest, Southwest inclusion) and community oncology practices serving racially and socioeconomically diverse patient populations.</w:t>
      </w:r>
    </w:p>
    <w:p>
      <w:pPr>
        <w:spacing w:before="60" w:after="60" w:line="276"/>
        <w:jc w:val="both"/>
      </w:pPr>
      <w:r>
        <w:rPr>
          <w:rFonts w:ascii="Arial" w:cs="Arial" w:eastAsia="Arial" w:hAnsi="Arial"/>
          <w:b w:val="false"/>
          <w:bCs w:val="false"/>
          <w:i w:val="false"/>
          <w:iCs w:val="false"/>
          <w:color w:val="1A1A1A"/>
          <w:sz w:val="19"/>
          <w:szCs w:val="19"/>
        </w:rPr>
        <w:t xml:space="preserve">Prisoners, pregnant women, and cognitively impaired individuals are not specifically targeted for enrollment. Where cognitively impaired patients are incidentally enrolled (e.g., mild dementia), surrogate consent procedures per applicable state law will be followed.</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Section C — Investigator Qualifications and Responsibilities</w:t>
      </w:r>
    </w:p>
    <w:p>
      <w:pPr>
        <w:spacing w:before="60" w:after="60" w:line="276"/>
        <w:jc w:val="both"/>
      </w:pPr>
      <w:r>
        <w:rPr>
          <w:rFonts w:ascii="Arial" w:cs="Arial" w:eastAsia="Arial" w:hAnsi="Arial"/>
          <w:b w:val="false"/>
          <w:bCs w:val="false"/>
          <w:i w:val="false"/>
          <w:iCs w:val="false"/>
          <w:color w:val="1A1A1A"/>
          <w:sz w:val="19"/>
          <w:szCs w:val="19"/>
        </w:rPr>
        <w:t xml:space="preserve">The Principal Investigator (PI) is responsible for ensuring that the study is conducted in accordance with the protocol, ICH E6(R3) GCP, applicable FDA regulations (21 CFR Parts 50, 56, 312), and the IRB approval conditions. Site Investigators (SIs) at each participating CERV-REG site are responsible for obtaining informed consent, supervising study procedures, reporting SAEs to the Sponsor within required timelines, and maintaining study records per 21 CFR 312.62.</w:t>
      </w:r>
    </w:p>
    <w:p>
      <w:pPr>
        <w:spacing w:before="60" w:after="60" w:line="276"/>
        <w:jc w:val="both"/>
      </w:pPr>
      <w:r>
        <w:rPr>
          <w:rFonts w:ascii="Arial" w:cs="Arial" w:eastAsia="Arial" w:hAnsi="Arial"/>
          <w:b w:val="false"/>
          <w:bCs w:val="false"/>
          <w:i w:val="false"/>
          <w:iCs w:val="false"/>
          <w:color w:val="1A1A1A"/>
          <w:sz w:val="19"/>
          <w:szCs w:val="19"/>
        </w:rPr>
        <w:t xml:space="preserve">All investigators will complete CITI Program training in Human Subjects Research (Biomedical or Social-Behavioral, as applicable) and GCP training within the preceding 3 years. Training certificates will be maintained in site regulatory binders and the Sponsor's Trial Master File.</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Section D — IRB Submission Documents Checklist</w:t>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800"/>
        <w:gridCol w:w="2000"/>
      </w:tblGrid>
      <w:tr>
        <w:tc>
          <w:tcPr>
            <w:tcW w:type="dxa" w:w="5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IRB Application Form (WIRB/Copernicus Group Form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Protocol RWE-01 (CERV-RWE-01, v1.0)</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Protocol RWE-02 / CERV-REG (CERV-RWE-02, 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Protocol RWE-03 (CERV-RWE-03, v1.0)</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Informed Consent Form — RWE-02 CERV-REG (English)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Informed Consent Form — RWE-02 Biospecimen Substudy Addendum</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Spanish Translation — ICF RWE-02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HIPAA Authorization Form — CERV-REG Participants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Investigator Brochure — Cervimab (CVM-101), Ed.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January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FDA Approved Labeling (Package Insert) for Cervimab</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Approval Date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Sample Data Use Agreement (DUA-CERV-2026-001)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Privacy Impact Assessment / HIPAA Expert Determination Report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February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Sponsor Financial Disclosure Statements (Form FDA 3455)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To Follow</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CV and Medical License — Principal Investigator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Current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CITI GCP Training Certificates — Central Study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Within 3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DSMB Charter — RWE-02</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Certificate of Confidentiality Application (NIH)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Submitted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Site Monitoring Plan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Study Compensation Plan for Participating Sites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r>
        <w:tc>
          <w:tcPr>
            <w:tcW w:type="dxa" w:w="5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Conflict of Interest Disclosures — All Central Investigators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March 2026</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Attached</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Section E — IRB Approval and Conditions</w:t>
      </w:r>
    </w:p>
    <w:p>
      <w:pPr>
        <w:spacing w:before="60" w:after="60" w:line="276"/>
        <w:jc w:val="both"/>
      </w:pPr>
      <w:r>
        <w:rPr>
          <w:rFonts w:ascii="Arial" w:cs="Arial" w:eastAsia="Arial" w:hAnsi="Arial"/>
          <w:b w:val="false"/>
          <w:bCs w:val="false"/>
          <w:i w:val="false"/>
          <w:iCs w:val="false"/>
          <w:color w:val="1A1A1A"/>
          <w:sz w:val="19"/>
          <w:szCs w:val="19"/>
        </w:rPr>
        <w:t xml:space="preserve">The Sponsor respectfully requests the IRB/IEC to: (1) grant Full Board approval for Study RWE-02 / CERV-REG including the biospecimen substudy and approve the informed consent form as written or with specified modifications; (2) grant Expedited Review approval (Category 5 and/or Category 7) for Studies RWE-01 and RWE-03 (PRO module); (3) issue Exemption Determinations for the RWD Analysis Plan and the claims-based component of RWE-03 under 45 CFR 46.104(d)(4); and (4) approve the Waiver of Informed Consent for Studies RWE-01 and RWD-AP.</w:t>
      </w:r>
    </w:p>
    <w:p>
      <w:pPr>
        <w:spacing w:before="60" w:after="60" w:line="276"/>
        <w:jc w:val="both"/>
      </w:pPr>
      <w:r>
        <w:rPr>
          <w:rFonts w:ascii="Arial" w:cs="Arial" w:eastAsia="Arial" w:hAnsi="Arial"/>
          <w:b w:val="false"/>
          <w:bCs w:val="false"/>
          <w:i w:val="false"/>
          <w:iCs w:val="false"/>
          <w:color w:val="1A1A1A"/>
          <w:sz w:val="19"/>
          <w:szCs w:val="19"/>
        </w:rPr>
        <w:t xml:space="preserve">The Sponsor acknowledges and accepts the following standard IRB conditions: ongoing submission of annual continuing review reports; expedited reporting of all unanticipated problems involving risks to subjects within 7 calendar days; submission of any protocol amendments prior to implementation; and maintenance of all required records per 21 CFR 56.115 for a minimum of three (3) years following completion of the research.</w:t>
      </w:r>
    </w:p>
    <w:p>
      <w:pPr>
        <w:pStyle w:val="Heading2"/>
        <w:pBdr>
          <w:bottom w:val="single" w:color="2E6DA4" w:sz="6" w:space="1"/>
        </w:pBdr>
        <w:spacing w:before="200" w:after="100" w:line="276"/>
        <w:jc w:val="left"/>
      </w:pPr>
      <w:r>
        <w:rPr>
          <w:rFonts w:ascii="Arial" w:cs="Arial" w:eastAsia="Arial" w:hAnsi="Arial"/>
          <w:b/>
          <w:bCs/>
          <w:color w:val="1B3A5C"/>
          <w:sz w:val="22"/>
          <w:szCs w:val="22"/>
        </w:rPr>
        <w:t xml:space="preserve">Section F — Contact Information and Institutional Commitments</w:t>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Institution /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Principal Investigator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 MD, PhD]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[Academic Medical Center]; [email]; [phone]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Sponsor Medical Monitor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 MD]</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Veridian Oncology, Inc.;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Regulatory Affairs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 RAC]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Veridian Oncology, Inc.; [email]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IRB Liaison / CRO Contact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[CRO Name]; [email]; [phone]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Data Privacy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Veridian Oncology, Inc.; [email]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DSMB Chair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 MD, PhD]</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[Institution]; [email]</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60" w:after="60" w:line="276"/>
        <w:jc w:val="both"/>
      </w:pPr>
      <w:r>
        <w:rPr>
          <w:rFonts w:ascii="Arial" w:cs="Arial" w:eastAsia="Arial" w:hAnsi="Arial"/>
          <w:b w:val="false"/>
          <w:bCs w:val="false"/>
          <w:i w:val="false"/>
          <w:iCs w:val="false"/>
          <w:color w:val="1A1A1A"/>
          <w:sz w:val="19"/>
          <w:szCs w:val="19"/>
        </w:rPr>
        <w:t xml:space="preserve">The undersigned Principal Investigator and Sponsor Representative certify that the information provided in this IRB submission is complete and accurate, that the research will be conducted in accordance with the approved protocol and all applicable regulations, and that human subjects protections are in place.</w:t>
      </w: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PRINCIPAL INVESTIGATOR</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SPONSOR REPRESENTATIVE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Signature: 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Signature: _____________________________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 __________________________________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Name: __________________________________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Title: PI, [Study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Title: VP, Clinical Development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Institution: [Academic Medical Center]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Institution: Veridian Oncology, Inc.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 ___________________________________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Date: ___________________________________</w:t>
            </w:r>
          </w:p>
        </w:tc>
      </w:tr>
    </w:tbl>
    <w:p>
      <w:pPr>
        <w:spacing w:before="100" w:after="100" w:line="276"/>
        <w:jc w:val="both"/>
      </w:pPr>
      <w:r>
        <w:rPr>
          <w:rFonts w:ascii="Arial" w:cs="Arial" w:eastAsia="Arial" w:hAnsi="Arial"/>
          <w:b w:val="false"/>
          <w:bCs w:val="false"/>
          <w:i w:val="false"/>
          <w:iCs w:val="false"/>
          <w:color w:val="1A1A1A"/>
          <w:sz w:val="10"/>
          <w:szCs w:val="10"/>
        </w:rPr>
        <w:t xml:space="preserve"/>
      </w:r>
    </w:p>
    <w:p>
      <w:pPr>
        <w:spacing w:before="100" w:after="100" w:line="276"/>
        <w:jc w:val="both"/>
      </w:pPr>
      <w:r>
        <w:rPr>
          <w:rFonts w:ascii="Arial" w:cs="Arial" w:eastAsia="Arial" w:hAnsi="Arial"/>
          <w:b w:val="false"/>
          <w:bCs w:val="false"/>
          <w:i w:val="false"/>
          <w:iCs w:val="false"/>
          <w:color w:val="1A1A1A"/>
          <w:sz w:val="10"/>
          <w:szCs w:val="10"/>
        </w:rPr>
        <w:t xml:space="preserve"/>
      </w:r>
    </w:p>
    <w:p>
      <w:pPr>
        <w:pBdr>
          <w:bottom w:val="single" w:color="D6E4F0" w:sz="4" w:space="1"/>
        </w:pBdr>
        <w:spacing w:before="120" w:after="120"/>
      </w:pPr>
    </w:p>
    <w:p>
      <w:pPr>
        <w:spacing w:before="100" w:after="100" w:line="276"/>
        <w:jc w:val="both"/>
      </w:pPr>
      <w:r>
        <w:rPr>
          <w:rFonts w:ascii="Arial" w:cs="Arial" w:eastAsia="Arial" w:hAnsi="Arial"/>
          <w:b w:val="false"/>
          <w:bCs w:val="false"/>
          <w:i w:val="false"/>
          <w:iCs w:val="false"/>
          <w:color w:val="1A1A1A"/>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EBF4FB" w:val="clear"/>
            <w:tcMar>
              <w:top w:type="dxa" w:w="140"/>
              <w:left w:type="dxa" w:w="240"/>
              <w:bottom w:type="dxa" w:w="140"/>
              <w:right w:type="dxa" w:w="240"/>
            </w:tcMar>
          </w:tcPr>
          <w:p>
            <w:pPr>
              <w:jc w:val="center"/>
            </w:pPr>
            <w:r>
              <w:rPr>
                <w:rFonts w:ascii="Arial" w:cs="Arial" w:eastAsia="Arial" w:hAnsi="Arial"/>
                <w:b/>
                <w:bCs/>
                <w:color w:val="1B3A5C"/>
                <w:sz w:val="20"/>
                <w:szCs w:val="20"/>
              </w:rPr>
              <w:t xml:space="preserve">REGULATORY DISCLAIMER</w:t>
            </w:r>
          </w:p>
          <w:p>
            <w:pPr>
              <w:spacing w:before="100" w:after="100" w:line="276"/>
              <w:jc w:val="both"/>
            </w:pPr>
            <w:r>
              <w:rPr>
                <w:rFonts w:ascii="Arial" w:cs="Arial" w:eastAsia="Arial" w:hAnsi="Arial"/>
                <w:b w:val="false"/>
                <w:bCs w:val="false"/>
                <w:i w:val="false"/>
                <w:iCs w:val="false"/>
                <w:color w:val="1A1A1A"/>
                <w:sz w:val="8"/>
                <w:szCs w:val="8"/>
              </w:rPr>
              <w:t xml:space="preserve"/>
            </w:r>
          </w:p>
          <w:p>
            <w:pPr>
              <w:spacing w:before="40" w:after="40"/>
              <w:jc w:val="both"/>
            </w:pPr>
            <w:r>
              <w:rPr>
                <w:rFonts w:ascii="Arial" w:cs="Arial" w:eastAsia="Arial" w:hAnsi="Arial"/>
                <w:i/>
                <w:iCs/>
                <w:color w:val="555555"/>
                <w:sz w:val="16"/>
                <w:szCs w:val="16"/>
              </w:rPr>
              <w:t xml:space="preserve">These documents are EXAMPLE templates drafted for illustrative and training purposes in the context of an investigational drug (Cervimab / CVM-101) and do not represent approved regulatory submissions, actual clinical protocols, or legal instruments. All sponsor names, IND/BLA numbers, investigator names, and site information are fictitious. Regulatory submissions must be reviewed and approved by qualified regulatory affairs professionals, legal counsel, and IRB/IEC bodies. Applicable regulations include, but may not be limited to: 21 CFR Parts 50, 56, 312, 314; 45 CFR Parts 46, 160, 164; ICH E6(R3), E9(R1); FDA Real-World Evidence Framework (2018); FDA RWD/RWE Guidance Documents (2021, 2023).</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360"/>
      </w:tabs>
      <w:spacing w:before="80" w:after="0"/>
    </w:pPr>
    <w:r>
      <w:rPr>
        <w:rFonts w:ascii="Arial" w:cs="Arial" w:eastAsia="Arial" w:hAnsi="Arial"/>
        <w:color w:val="7F8C9A"/>
        <w:sz w:val="16"/>
        <w:szCs w:val="16"/>
      </w:rPr>
      <w:t xml:space="preserve">IND-CERV-2024  |  Document Version 1.0  |  Sponsor: Veridian Oncology, Inc.</w:t>
    </w:r>
    <w:r>
      <w:rPr>
        <w:rFonts w:ascii="Arial" w:cs="Arial" w:eastAsia="Arial" w:hAnsi="Arial"/>
        <w:color w:val="7F8C9A"/>
        <w:sz w:val="16"/>
        <w:szCs w:val="16"/>
      </w:rPr>
      <w:t xml:space="preserve">	Page </w:t>
    </w:r>
    <w:r>
      <w:rPr>
        <w:rFonts w:ascii="Arial" w:cs="Arial" w:eastAsia="Arial" w:hAnsi="Arial"/>
        <w:color w:val="7F8C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360"/>
      </w:tabs>
      <w:spacing w:before="0" w:after="80"/>
      <w:jc w:val="right"/>
    </w:pPr>
    <w:r>
      <w:rPr>
        <w:rFonts w:ascii="Arial" w:cs="Arial" w:eastAsia="Arial" w:hAnsi="Arial"/>
        <w:color w:val="7F8C9A"/>
        <w:sz w:val="16"/>
        <w:szCs w:val="16"/>
      </w:rPr>
      <w:t xml:space="preserve">CERVIMAB (CVM-101)  |  Post-Launch RWD/RWE Document Package</w:t>
    </w:r>
    <w:r>
      <w:rPr>
        <w:rFonts w:ascii="Arial" w:cs="Arial" w:eastAsia="Arial" w:hAnsi="Arial"/>
        <w:b/>
        <w:bCs/>
        <w:color w:val="2E6DA4"/>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40"/>
      <w:outlineLvl w:val="0"/>
    </w:pPr>
    <w:rPr>
      <w:rFonts w:ascii="Arial" w:cs="Arial" w:eastAsia="Arial" w:hAnsi="Arial"/>
      <w:b/>
      <w:bCs/>
      <w:color w:val="FFFFFF"/>
      <w:sz w:val="26"/>
      <w:szCs w:val="26"/>
    </w:rPr>
  </w:style>
  <w:style w:type="paragraph" w:styleId="Heading2">
    <w:name w:val="Heading 2"/>
    <w:basedOn w:val="Normal"/>
    <w:next w:val="Normal"/>
    <w:qFormat/>
    <w:pPr>
      <w:spacing w:before="200" w:after="100"/>
      <w:outlineLvl w:val="1"/>
    </w:pPr>
    <w:rPr>
      <w:rFonts w:ascii="Arial" w:cs="Arial" w:eastAsia="Arial" w:hAnsi="Arial"/>
      <w:b/>
      <w:bCs/>
      <w:color w:val="1B3A5C"/>
      <w:sz w:val="22"/>
      <w:szCs w:val="22"/>
    </w:rPr>
  </w:style>
  <w:style w:type="paragraph" w:styleId="Heading3">
    <w:name w:val="Heading 3"/>
    <w:basedOn w:val="Normal"/>
    <w:next w:val="Normal"/>
    <w:qFormat/>
    <w:pPr>
      <w:spacing w:before="160" w:after="80"/>
      <w:outlineLvl w:val="2"/>
    </w:pPr>
    <w:rPr>
      <w:rFonts w:ascii="Arial" w:cs="Arial" w:eastAsia="Arial" w:hAnsi="Arial"/>
      <w:b/>
      <w:bCs/>
      <w:color w:val="2E6DA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2026-03-16T15:09:30.780Z</dcterms:created>
  <dcterms:modified xsi:type="dcterms:W3CDTF">2026-03-16T15:09:30.780Z</dcterms:modified>
</cp:coreProperties>
</file>

<file path=docProps/custom.xml><?xml version="1.0" encoding="utf-8"?>
<Properties xmlns="http://schemas.openxmlformats.org/officeDocument/2006/custom-properties" xmlns:vt="http://schemas.openxmlformats.org/officeDocument/2006/docPropsVTypes"/>
</file>