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0"/>
          <w:szCs w:val="20"/>
        </w:rPr>
        <w:t xml:space="preserve"/>
      </w:r>
    </w:p>
    <w:p>
      <w:pPr>
        <w:spacing w:before="0" w:after="0"/>
      </w:pPr>
      <w:r>
        <w:rPr>
          <w:sz w:val="20"/>
          <w:szCs w:val="20"/>
        </w:rPr>
        <w:t xml:space="preserve"/>
      </w:r>
    </w:p>
    <w:p>
      <w:pPr>
        <w:spacing w:before="480" w:after="80"/>
        <w:jc w:val="center"/>
      </w:pPr>
      <w:r>
        <w:rPr>
          <w:rFonts w:ascii="Arial" w:cs="Arial" w:eastAsia="Arial" w:hAnsi="Arial"/>
          <w:b/>
          <w:bCs/>
          <w:color w:val="1F3864"/>
          <w:sz w:val="32"/>
          <w:szCs w:val="32"/>
        </w:rPr>
        <w:t xml:space="preserve">INVESTIGATIONAL NEW DRUG APPLICATION</w:t>
      </w:r>
    </w:p>
    <w:p>
      <w:pPr>
        <w:spacing w:before="0" w:after="80"/>
        <w:jc w:val="center"/>
      </w:pPr>
      <w:r>
        <w:rPr>
          <w:rFonts w:ascii="Arial" w:cs="Arial" w:eastAsia="Arial" w:hAnsi="Arial"/>
          <w:color w:val="444444"/>
          <w:sz w:val="24"/>
          <w:szCs w:val="24"/>
        </w:rPr>
        <w:t xml:space="preserve">IND No. [XXXX-XXXX]  |  Module 3 — Quality</w:t>
      </w:r>
    </w:p>
    <w:p>
      <w:pPr>
        <w:pBdr>
          <w:bottom w:val="single" w:color="2E6DA4" w:sz="6"/>
        </w:pBdr>
        <w:spacing w:before="120" w:after="120"/>
      </w:pPr>
    </w:p>
    <w:p>
      <w:pPr>
        <w:spacing w:before="0" w:after="0"/>
      </w:pPr>
      <w:r>
        <w:rPr>
          <w:sz w:val="20"/>
          <w:szCs w:val="20"/>
        </w:rPr>
        <w:t xml:space="preserve"/>
      </w:r>
    </w:p>
    <w:p>
      <w:pPr>
        <w:spacing w:before="200" w:after="80"/>
        <w:jc w:val="center"/>
      </w:pPr>
      <w:r>
        <w:rPr>
          <w:rFonts w:ascii="Arial" w:cs="Arial" w:eastAsia="Arial" w:hAnsi="Arial"/>
          <w:b/>
          <w:bCs/>
          <w:color w:val="2E6DA4"/>
          <w:sz w:val="36"/>
          <w:szCs w:val="36"/>
        </w:rPr>
        <w:t xml:space="preserve">3.2.S.3</w:t>
      </w:r>
    </w:p>
    <w:p>
      <w:pPr>
        <w:spacing w:before="0" w:after="80"/>
        <w:jc w:val="center"/>
      </w:pPr>
      <w:r>
        <w:rPr>
          <w:rFonts w:ascii="Arial" w:cs="Arial" w:eastAsia="Arial" w:hAnsi="Arial"/>
          <w:b/>
          <w:bCs/>
          <w:color w:val="1F3864"/>
          <w:sz w:val="28"/>
          <w:szCs w:val="28"/>
        </w:rPr>
        <w:t xml:space="preserve">DRUG SUBSTANCE CHARACTERIZATION REPORT</w:t>
      </w:r>
    </w:p>
    <w:p>
      <w:pPr>
        <w:spacing w:before="80" w:after="80"/>
        <w:jc w:val="center"/>
      </w:pPr>
      <w:r>
        <w:rPr>
          <w:rFonts w:ascii="Arial" w:cs="Arial" w:eastAsia="Arial" w:hAnsi="Arial"/>
          <w:b/>
          <w:bCs/>
          <w:color w:val="2E6DA4"/>
          <w:sz w:val="32"/>
          <w:szCs w:val="32"/>
        </w:rPr>
        <w:t xml:space="preserve">CERVIMAB</w:t>
      </w:r>
    </w:p>
    <w:p>
      <w:pPr>
        <w:spacing w:before="0" w:after="200"/>
        <w:jc w:val="center"/>
      </w:pPr>
      <w:r>
        <w:rPr>
          <w:rFonts w:ascii="Arial" w:cs="Arial" w:eastAsia="Arial" w:hAnsi="Arial"/>
          <w:color w:val="444444"/>
          <w:sz w:val="22"/>
          <w:szCs w:val="22"/>
        </w:rPr>
        <w:t xml:space="preserve">Recombinant Humanized Anti-PD-1 IgG4 Monoclonal Antibody</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Sponsor</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Example BioPharma, Inc.</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IND Number</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[XXXX-XXXX]</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Drug Substance Name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Cervimab</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Document Type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Drug Substance Characterization Report</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CTD Section</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3.2.S.3</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Document Number</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RPT-DS-CHAR-001</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Version</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1.0</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Date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March 2026</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Prepared By</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Analytical Sciences &amp; Characterization Group</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Reviewed By</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Head of CMC Development</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Approved By</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VP, Pharmaceutical Sciences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Classification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Confidential — Regulatory Submission Only</w:t>
            </w:r>
          </w:p>
        </w:tc>
      </w:tr>
    </w:tbl>
    <w:p>
      <w:pPr>
        <w:spacing w:before="0" w:after="0"/>
      </w:pPr>
      <w:r>
        <w:rPr>
          <w:sz w:val="20"/>
          <w:szCs w:val="20"/>
        </w:rPr>
        <w:t xml:space="preserve"/>
      </w:r>
    </w:p>
    <w:p>
      <w:r>
        <w:br w:type="page"/>
      </w:r>
    </w:p>
    <w:p>
      <w:pPr>
        <w:pStyle w:val="Heading1"/>
        <w:spacing w:before="320" w:after="160"/>
      </w:pPr>
      <w:r>
        <w:rPr>
          <w:rFonts w:ascii="Arial" w:cs="Arial" w:eastAsia="Arial" w:hAnsi="Arial"/>
          <w:b/>
          <w:bCs/>
          <w:color w:val="1F3864"/>
          <w:sz w:val="28"/>
          <w:szCs w:val="28"/>
        </w:rPr>
        <w:t xml:space="preserve">1. INTRODUCTION AND PURPOSE</w:t>
      </w:r>
    </w:p>
    <w:p>
      <w:pPr>
        <w:spacing w:before="60" w:after="60"/>
        <w:jc w:val="left"/>
      </w:pPr>
      <w:r>
        <w:rPr>
          <w:rFonts w:ascii="Arial" w:cs="Arial" w:eastAsia="Arial" w:hAnsi="Arial"/>
          <w:b w:val="false"/>
          <w:bCs w:val="false"/>
          <w:i w:val="false"/>
          <w:iCs w:val="false"/>
          <w:color w:val="000000"/>
          <w:sz w:val="20"/>
          <w:szCs w:val="20"/>
        </w:rPr>
        <w:t xml:space="preserve">This Drug Substance Characterization Report (DSCR) for Cervimab has been prepared in accordance with ICH Q6B (Specifications: Test Procedures and Acceptance Criteria for Biotechnological/Biological Products) and ICH Q5E (Comparability of Biotechnological/Biological Products Subject to Changes in Their Manufacturing Process). The report fulfills the regulatory requirements for Module 3.2.S.3 of the Common Technical Document (CTD) submitted to the U.S. Food and Drug Administration (FDA) as part of the Investigational New Drug (IND) application for Cervimab.</w:t>
      </w:r>
    </w:p>
    <w:p>
      <w:pPr>
        <w:spacing w:before="0" w:after="0"/>
      </w:pPr>
      <w:r>
        <w:rPr>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Cervimab is a recombinant humanized anti-PD-1 IgG4 monoclonal antibody intended for the treatment of adult patients with mismatch repair-deficient (dMMR) or microsatellite instability-high (MSI-H) metastatic colorectal cancer (mCRC). Cervimab targets the Programmed Death-1 (PD-1) receptor on activated T lymphocytes, blocking its interaction with PD-L1 and PD-L2 ligands, thereby restoring anti-tumor immune activity.</w:t>
      </w:r>
    </w:p>
    <w:p>
      <w:pPr>
        <w:spacing w:before="0" w:after="0"/>
      </w:pPr>
      <w:r>
        <w:rPr>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The characterization studies described herein were conducted using Cervimab drug substance manufactured under Good Manufacturing Practice (GMP) conditions at Example BioPharma Manufacturing, Inc. (Facility ID: [XXXXX]) using a Chinese Hamster Ovary (CHO) cell expression system. Studies utilized a state-of-the-art panel of physicochemical, biochemical, and biological assays to elucidate the primary, higher-order, and functional structure of the molecule.</w:t>
      </w:r>
    </w:p>
    <w:p>
      <w:pPr>
        <w:pStyle w:val="Heading2"/>
        <w:spacing w:before="240" w:after="120"/>
      </w:pPr>
      <w:r>
        <w:rPr>
          <w:rFonts w:ascii="Arial" w:cs="Arial" w:eastAsia="Arial" w:hAnsi="Arial"/>
          <w:b/>
          <w:bCs/>
          <w:color w:val="2E6DA4"/>
          <w:sz w:val="24"/>
          <w:szCs w:val="24"/>
        </w:rPr>
        <w:t xml:space="preserve">1.1 Scope of Characterization</w:t>
      </w:r>
    </w:p>
    <w:p>
      <w:pPr>
        <w:spacing w:before="60" w:after="60"/>
        <w:jc w:val="left"/>
      </w:pPr>
      <w:r>
        <w:rPr>
          <w:rFonts w:ascii="Arial" w:cs="Arial" w:eastAsia="Arial" w:hAnsi="Arial"/>
          <w:b w:val="false"/>
          <w:bCs w:val="false"/>
          <w:i w:val="false"/>
          <w:iCs w:val="false"/>
          <w:color w:val="000000"/>
          <w:sz w:val="20"/>
          <w:szCs w:val="20"/>
        </w:rPr>
        <w:t xml:space="preserve">Comprehensive characterization was performed on three representative GMP lots of Cervimab drug substance to establish the following:</w:t>
      </w:r>
    </w:p>
    <w:p>
      <w:pPr>
        <w:pStyle w:val="ListParagraph"/>
        <w:numPr>
          <w:ilvl w:val="0"/>
          <w:numId w:val="2"/>
        </w:numPr>
        <w:spacing w:before="40" w:after="40"/>
      </w:pPr>
      <w:r>
        <w:rPr>
          <w:rFonts w:ascii="Arial" w:cs="Arial" w:eastAsia="Arial" w:hAnsi="Arial"/>
          <w:b w:val="false"/>
          <w:bCs w:val="false"/>
          <w:sz w:val="20"/>
          <w:szCs w:val="20"/>
        </w:rPr>
        <w:t xml:space="preserve">Primary structure: amino acid sequence, disulfide bond linkage, and glycosylation sites</w:t>
      </w:r>
    </w:p>
    <w:p>
      <w:pPr>
        <w:pStyle w:val="ListParagraph"/>
        <w:numPr>
          <w:ilvl w:val="0"/>
          <w:numId w:val="2"/>
        </w:numPr>
        <w:spacing w:before="40" w:after="40"/>
      </w:pPr>
      <w:r>
        <w:rPr>
          <w:rFonts w:ascii="Arial" w:cs="Arial" w:eastAsia="Arial" w:hAnsi="Arial"/>
          <w:b w:val="false"/>
          <w:bCs w:val="false"/>
          <w:sz w:val="20"/>
          <w:szCs w:val="20"/>
        </w:rPr>
        <w:t xml:space="preserve">Higher-order structure: secondary, tertiary, and quaternary structure confirmation</w:t>
      </w:r>
    </w:p>
    <w:p>
      <w:pPr>
        <w:pStyle w:val="ListParagraph"/>
        <w:numPr>
          <w:ilvl w:val="0"/>
          <w:numId w:val="2"/>
        </w:numPr>
        <w:spacing w:before="40" w:after="40"/>
      </w:pPr>
      <w:r>
        <w:rPr>
          <w:rFonts w:ascii="Arial" w:cs="Arial" w:eastAsia="Arial" w:hAnsi="Arial"/>
          <w:b w:val="false"/>
          <w:bCs w:val="false"/>
          <w:sz w:val="20"/>
          <w:szCs w:val="20"/>
        </w:rPr>
        <w:t xml:space="preserve">Post-translational modifications (PTMs): N- and O-linked glycosylation profiles, deamidation, oxidation, C-terminal lysine clipping, N-terminal pyroglutamate formation</w:t>
      </w:r>
    </w:p>
    <w:p>
      <w:pPr>
        <w:pStyle w:val="ListParagraph"/>
        <w:numPr>
          <w:ilvl w:val="0"/>
          <w:numId w:val="2"/>
        </w:numPr>
        <w:spacing w:before="40" w:after="40"/>
      </w:pPr>
      <w:r>
        <w:rPr>
          <w:rFonts w:ascii="Arial" w:cs="Arial" w:eastAsia="Arial" w:hAnsi="Arial"/>
          <w:b w:val="false"/>
          <w:bCs w:val="false"/>
          <w:sz w:val="20"/>
          <w:szCs w:val="20"/>
        </w:rPr>
        <w:t xml:space="preserve">Charge heterogeneity: isoelectric point distribution and acidic/basic species profiling</w:t>
      </w:r>
    </w:p>
    <w:p>
      <w:pPr>
        <w:pStyle w:val="ListParagraph"/>
        <w:numPr>
          <w:ilvl w:val="0"/>
          <w:numId w:val="2"/>
        </w:numPr>
        <w:spacing w:before="40" w:after="40"/>
      </w:pPr>
      <w:r>
        <w:rPr>
          <w:rFonts w:ascii="Arial" w:cs="Arial" w:eastAsia="Arial" w:hAnsi="Arial"/>
          <w:b w:val="false"/>
          <w:bCs w:val="false"/>
          <w:sz w:val="20"/>
          <w:szCs w:val="20"/>
        </w:rPr>
        <w:t xml:space="preserve">Size heterogeneity: aggregation, fragmentation, and molecular size confirmation</w:t>
      </w:r>
    </w:p>
    <w:p>
      <w:pPr>
        <w:pStyle w:val="ListParagraph"/>
        <w:numPr>
          <w:ilvl w:val="0"/>
          <w:numId w:val="2"/>
        </w:numPr>
        <w:spacing w:before="40" w:after="40"/>
      </w:pPr>
      <w:r>
        <w:rPr>
          <w:rFonts w:ascii="Arial" w:cs="Arial" w:eastAsia="Arial" w:hAnsi="Arial"/>
          <w:b w:val="false"/>
          <w:bCs w:val="false"/>
          <w:sz w:val="20"/>
          <w:szCs w:val="20"/>
        </w:rPr>
        <w:t xml:space="preserve">Biological activity: PD-1 binding affinity (SPR), FcRn binding, FcγR binding, complement activation</w:t>
      </w:r>
    </w:p>
    <w:p>
      <w:pPr>
        <w:pStyle w:val="ListParagraph"/>
        <w:numPr>
          <w:ilvl w:val="0"/>
          <w:numId w:val="2"/>
        </w:numPr>
        <w:spacing w:before="40" w:after="40"/>
      </w:pPr>
      <w:r>
        <w:rPr>
          <w:rFonts w:ascii="Arial" w:cs="Arial" w:eastAsia="Arial" w:hAnsi="Arial"/>
          <w:b w:val="false"/>
          <w:bCs w:val="false"/>
          <w:sz w:val="20"/>
          <w:szCs w:val="20"/>
        </w:rPr>
        <w:t xml:space="preserve">Extinction coefficient determination</w:t>
      </w:r>
    </w:p>
    <w:p>
      <w:r>
        <w:br w:type="page"/>
      </w:r>
    </w:p>
    <w:p>
      <w:pPr>
        <w:pStyle w:val="Heading1"/>
        <w:spacing w:before="320" w:after="160"/>
      </w:pPr>
      <w:r>
        <w:rPr>
          <w:rFonts w:ascii="Arial" w:cs="Arial" w:eastAsia="Arial" w:hAnsi="Arial"/>
          <w:b/>
          <w:bCs/>
          <w:color w:val="1F3864"/>
          <w:sz w:val="28"/>
          <w:szCs w:val="28"/>
        </w:rPr>
        <w:t xml:space="preserve">2. DRUG SUBSTANCE DESCRIPTION AND GENERAL PROPERTIES</w:t>
      </w:r>
    </w:p>
    <w:p>
      <w:pPr>
        <w:pStyle w:val="Heading2"/>
        <w:spacing w:before="240" w:after="120"/>
      </w:pPr>
      <w:r>
        <w:rPr>
          <w:rFonts w:ascii="Arial" w:cs="Arial" w:eastAsia="Arial" w:hAnsi="Arial"/>
          <w:b/>
          <w:bCs/>
          <w:color w:val="2E6DA4"/>
          <w:sz w:val="24"/>
          <w:szCs w:val="24"/>
        </w:rPr>
        <w:t xml:space="preserve">2.1 Molecule Description</w:t>
      </w:r>
    </w:p>
    <w:p>
      <w:pPr>
        <w:spacing w:before="60" w:after="60"/>
        <w:jc w:val="left"/>
      </w:pPr>
      <w:r>
        <w:rPr>
          <w:rFonts w:ascii="Arial" w:cs="Arial" w:eastAsia="Arial" w:hAnsi="Arial"/>
          <w:b w:val="false"/>
          <w:bCs w:val="false"/>
          <w:i w:val="false"/>
          <w:iCs w:val="false"/>
          <w:color w:val="000000"/>
          <w:sz w:val="20"/>
          <w:szCs w:val="20"/>
        </w:rPr>
        <w:t xml:space="preserve">Cervimab is a recombinant humanized IgG4 subclass monoclonal antibody directed against the human Programmed Death-1 (PD-1; CD279) receptor. The molecule consists of two identical heavy chains (HC) and two identical light chains (LC) connected by interchain disulfide bonds. A critical S228P substitution in the hinge region of the IgG4 Fc domain is incorporated to prevent Fab-arm exchange (half-antibody formation), conferring molecular stability consistent with other approved IgG4 therapeutic antibodies.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General Property</w:t>
            </w:r>
          </w:p>
        </w:tc>
        <w:tc>
          <w:tcPr>
            <w:tcW w:type="dxa" w:w="61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Molecule Type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Recombinant humanized IgG4 monoclonal antibody (S228P hinge stabilized)</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Target Antigen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Human PD-1 (Programmed Death-1 receptor; CD279)</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Expression System</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Chinese Hamster Ovary (CHO-K1) cells — stable clonal cell line</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Heavy Chain Isotype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Human IgG4 (S228P mutation)</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Light Chain Type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Human kappa (κ)</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Number of Disulfide Bonds</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12 total (4 intrachain HC, 2 intrachain LC, 2 interchain HC-LC, 4 Fc interchain equivalent)</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Theoretical Molecular Weight (non-glycosylated)</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~145.2 kDa (HC: ~49.1 kDa; LC: ~23.5 kDa)</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Observed MW (native, by SEC-MALS)</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~147.8 kDa ± 0.9 kDa</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Isoelectric Point (theoretical)</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pI ~8.4</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Observed pI Range (by icIEF)</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7.9 – 8.9 (major isoforms)</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Extinction Coefficient (ε280)</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1.52 (mg/mL)⁻¹cm⁻¹ (calculated from sequence; confirmed experimentally)</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N-Glycosylation Site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Asn-301 (HC; Asn297 EU numbering) — Fc glycan</w:t>
            </w:r>
          </w:p>
        </w:tc>
      </w:tr>
    </w:tbl>
    <w:p>
      <w:pPr>
        <w:spacing w:before="0" w:after="0"/>
      </w:pPr>
      <w:r>
        <w:rPr>
          <w:sz w:val="20"/>
          <w:szCs w:val="20"/>
        </w:rPr>
        <w:t xml:space="preserve"/>
      </w:r>
    </w:p>
    <w:p>
      <w:pPr>
        <w:pStyle w:val="Heading2"/>
        <w:spacing w:before="240" w:after="120"/>
      </w:pPr>
      <w:r>
        <w:rPr>
          <w:rFonts w:ascii="Arial" w:cs="Arial" w:eastAsia="Arial" w:hAnsi="Arial"/>
          <w:b/>
          <w:bCs/>
          <w:color w:val="2E6DA4"/>
          <w:sz w:val="24"/>
          <w:szCs w:val="24"/>
        </w:rPr>
        <w:t xml:space="preserve">2.2 Amino Acid Sequence</w:t>
      </w:r>
    </w:p>
    <w:p>
      <w:pPr>
        <w:spacing w:before="60" w:after="60"/>
        <w:jc w:val="left"/>
      </w:pPr>
      <w:r>
        <w:rPr>
          <w:rFonts w:ascii="Arial" w:cs="Arial" w:eastAsia="Arial" w:hAnsi="Arial"/>
          <w:b w:val="false"/>
          <w:bCs w:val="false"/>
          <w:i w:val="false"/>
          <w:iCs w:val="false"/>
          <w:color w:val="000000"/>
          <w:sz w:val="20"/>
          <w:szCs w:val="20"/>
        </w:rPr>
        <w:t xml:space="preserve">The complete amino acid sequences of the Cervimab heavy chain and light chain were confirmed by bottom-up peptide mapping (tryptic, Lys-C, and Asp-N digestions) combined with high-resolution LC-MS/MS analysis (Orbitrap Fusion Lumos, Thermo Fisher Scientific). Sequence coverage of ≥99.5% was achieved for both chains across all three characterized lots.</w:t>
      </w:r>
    </w:p>
    <w:p>
      <w:pPr>
        <w:spacing w:before="0" w:after="0"/>
      </w:pPr>
      <w:r>
        <w:rPr>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Heavy Chain (452 amino acids, including signal peptide [1–19] cleaved post-secretion):</w:t>
      </w:r>
    </w:p>
    <w:p>
      <w:pPr>
        <w:spacing w:before="60" w:after="60"/>
      </w:pPr>
      <w:r>
        <w:rPr>
          <w:rFonts w:ascii="Courier New" w:cs="Courier New" w:eastAsia="Courier New" w:hAnsi="Courier New"/>
          <w:color w:val="222222"/>
          <w:sz w:val="17"/>
          <w:szCs w:val="17"/>
        </w:rPr>
        <w:t xml:space="preserve">QVQLVQSGAEVKKPGASVKVSCKASGYTFTSYYMHWVRQAPGQGLEWMGIINPSGGSTSYAQKFQGRVTMTRDTSTSTVYMELSSLRSEDTAVYYCARYYGSGSYFDYWGQGTLVTVSSASTKGPSVFPLAPCSRSTSESTAALGCLVKDYFPEPVTVSWNSGALTSGVHTFPAVLQSSGLYSLSSVVTVPSSSLGTKTYTCNVDHKPSNTKVDKRV...[VH-CH1-Hinge-CH2-CH3 full sequence on file]</w:t>
      </w:r>
    </w:p>
    <w:p>
      <w:pPr>
        <w:spacing w:before="0" w:after="0"/>
      </w:pPr>
      <w:r>
        <w:rPr>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Light Chain (214 amino acids):</w:t>
      </w:r>
    </w:p>
    <w:p>
      <w:pPr>
        <w:spacing w:before="60" w:after="60"/>
      </w:pPr>
      <w:r>
        <w:rPr>
          <w:rFonts w:ascii="Courier New" w:cs="Courier New" w:eastAsia="Courier New" w:hAnsi="Courier New"/>
          <w:color w:val="222222"/>
          <w:sz w:val="17"/>
          <w:szCs w:val="17"/>
        </w:rPr>
        <w:t xml:space="preserve">EIVLTQSPATLSLSPGERATLSCRASESVDNYGISFMNWYQQKPGQAPKLLIYDTSNLESGVPARFSGSGSGTDFTLTISSLEPEDFAVYYCQQSNEDPLTFGGGTKVEIKRTVAAPSVFIFPPSDEQLKSGTASVVCLLNNFYPREAKVQWKVDNALQSGNSQESVTEQDSKDSTYSLSSTLTLSKADYEKHKVYACEVTHQGLSSPVTKSFNRGEC</w:t>
      </w:r>
    </w:p>
    <w:p>
      <w:pPr>
        <w:spacing w:before="60" w:after="60"/>
        <w:jc w:val="left"/>
      </w:pPr>
      <w:r>
        <w:rPr>
          <w:rFonts w:ascii="Arial" w:cs="Arial" w:eastAsia="Arial" w:hAnsi="Arial"/>
          <w:b w:val="false"/>
          <w:bCs w:val="false"/>
          <w:i/>
          <w:iCs/>
          <w:color w:val="000000"/>
          <w:sz w:val="20"/>
          <w:szCs w:val="20"/>
        </w:rPr>
        <w:t xml:space="preserve">Note: Full annotated sequences with CDR annotations (Kabat, Chothia, IMGT) are provided in Appendix A.</w:t>
      </w:r>
    </w:p>
    <w:p>
      <w:r>
        <w:br w:type="page"/>
      </w:r>
    </w:p>
    <w:p>
      <w:pPr>
        <w:pStyle w:val="Heading1"/>
        <w:spacing w:before="320" w:after="160"/>
      </w:pPr>
      <w:r>
        <w:rPr>
          <w:rFonts w:ascii="Arial" w:cs="Arial" w:eastAsia="Arial" w:hAnsi="Arial"/>
          <w:b/>
          <w:bCs/>
          <w:color w:val="1F3864"/>
          <w:sz w:val="28"/>
          <w:szCs w:val="28"/>
        </w:rPr>
        <w:t xml:space="preserve">3. PHYSICOCHEMICAL CHARACTERIZATION</w:t>
      </w:r>
    </w:p>
    <w:p>
      <w:pPr>
        <w:pStyle w:val="Heading2"/>
        <w:spacing w:before="240" w:after="120"/>
      </w:pPr>
      <w:r>
        <w:rPr>
          <w:rFonts w:ascii="Arial" w:cs="Arial" w:eastAsia="Arial" w:hAnsi="Arial"/>
          <w:b/>
          <w:bCs/>
          <w:color w:val="2E6DA4"/>
          <w:sz w:val="24"/>
          <w:szCs w:val="24"/>
        </w:rPr>
        <w:t xml:space="preserve">3.1 Molecular Weight and Size Characterization</w:t>
      </w:r>
    </w:p>
    <w:p>
      <w:pPr>
        <w:pStyle w:val="Heading3"/>
        <w:spacing w:before="180" w:after="80"/>
      </w:pPr>
      <w:r>
        <w:rPr>
          <w:rFonts w:ascii="Arial" w:cs="Arial" w:eastAsia="Arial" w:hAnsi="Arial"/>
          <w:b/>
          <w:bCs/>
          <w:color w:val="000000"/>
          <w:sz w:val="22"/>
          <w:szCs w:val="22"/>
        </w:rPr>
        <w:t xml:space="preserve">3.1.1 Size-Exclusion Chromatography with Multi-Angle Light Scattering (SEC-MALS)</w:t>
      </w:r>
    </w:p>
    <w:p>
      <w:pPr>
        <w:spacing w:before="60" w:after="60"/>
        <w:jc w:val="left"/>
      </w:pPr>
      <w:r>
        <w:rPr>
          <w:rFonts w:ascii="Arial" w:cs="Arial" w:eastAsia="Arial" w:hAnsi="Arial"/>
          <w:b w:val="false"/>
          <w:bCs w:val="false"/>
          <w:i w:val="false"/>
          <w:iCs w:val="false"/>
          <w:color w:val="000000"/>
          <w:sz w:val="20"/>
          <w:szCs w:val="20"/>
        </w:rPr>
        <w:t xml:space="preserve">SEC-MALS was performed using a Superdex 200 Increase 10/300 GL column (Cytiva) coupled to a DAWN HELEOS II MALS detector and Optilab T-rEX differential refractive index detector (Wyatt Technology). Mobile phase consisted of 200 mM potassium phosphate, 250 mM potassium chloride, pH 6.8.</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360"/>
        <w:gridCol w:w="1400"/>
      </w:tblGrid>
      <w:tr>
        <w:tc>
          <w:tcPr>
            <w:tcW w:type="dxa" w:w="18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Lot Number</w:t>
            </w:r>
          </w:p>
        </w:tc>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Main Peak MW (kDa)</w:t>
            </w:r>
          </w:p>
        </w:tc>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Monomer</w:t>
            </w:r>
          </w:p>
        </w:tc>
        <w:tc>
          <w:tcPr>
            <w:tcW w:type="dxa" w:w="13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HMW</w:t>
            </w:r>
          </w:p>
        </w:tc>
        <w:tc>
          <w:tcPr>
            <w:tcW w:type="dxa" w:w="1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LMW</w:t>
            </w:r>
          </w:p>
        </w:tc>
      </w:tr>
      <w:tr>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LOT-DS-001</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147.6 ± 0.7</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98.4</w:t>
            </w:r>
          </w:p>
        </w:tc>
        <w:tc>
          <w:tcPr>
            <w:tcW w:type="dxa" w:w="1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0.9</w:t>
            </w:r>
          </w:p>
        </w:tc>
        <w:tc>
          <w:tcPr>
            <w:tcW w:type="dxa" w:w="1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0.7</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LOT-DS-002</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147.9 ± 0.8</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98.7</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0.7</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0.6</w:t>
            </w:r>
          </w:p>
        </w:tc>
      </w:tr>
      <w:tr>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LOT-DS-003</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148.0 ± 0.9</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98.5</w:t>
            </w:r>
          </w:p>
        </w:tc>
        <w:tc>
          <w:tcPr>
            <w:tcW w:type="dxa" w:w="13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0.8</w:t>
            </w:r>
          </w:p>
        </w:tc>
        <w:tc>
          <w:tcPr>
            <w:tcW w:type="dxa" w:w="1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0.7</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Mean ± SD</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147.8 ± 0.9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98.5 ± 0.15</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0.8 ± 0.10</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0.67 ± 0.06</w:t>
            </w:r>
          </w:p>
        </w:tc>
      </w:tr>
    </w:tbl>
    <w:p>
      <w:pPr>
        <w:spacing w:before="60" w:after="60"/>
        <w:jc w:val="left"/>
      </w:pPr>
      <w:r>
        <w:rPr>
          <w:rFonts w:ascii="Arial" w:cs="Arial" w:eastAsia="Arial" w:hAnsi="Arial"/>
          <w:b w:val="false"/>
          <w:bCs w:val="false"/>
          <w:i/>
          <w:iCs/>
          <w:color w:val="000000"/>
          <w:sz w:val="18"/>
          <w:szCs w:val="18"/>
        </w:rPr>
        <w:t xml:space="preserve">HMW = High Molecular Weight species (aggregates); LMW = Low Molecular Weight species (fragments). Acceptance criteria for release: Monomer ≥ 97.0%.</w:t>
      </w:r>
    </w:p>
    <w:p>
      <w:pPr>
        <w:spacing w:before="0" w:after="0"/>
      </w:pPr>
      <w:r>
        <w:rPr>
          <w:sz w:val="20"/>
          <w:szCs w:val="20"/>
        </w:rPr>
        <w:t xml:space="preserve"/>
      </w:r>
    </w:p>
    <w:p>
      <w:pPr>
        <w:pStyle w:val="Heading3"/>
        <w:spacing w:before="180" w:after="80"/>
      </w:pPr>
      <w:r>
        <w:rPr>
          <w:rFonts w:ascii="Arial" w:cs="Arial" w:eastAsia="Arial" w:hAnsi="Arial"/>
          <w:b/>
          <w:bCs/>
          <w:color w:val="000000"/>
          <w:sz w:val="22"/>
          <w:szCs w:val="22"/>
        </w:rPr>
        <w:t xml:space="preserve">3.1.2 Analytical Ultracentrifugation — Sedimentation Velocity (AUC-SV)</w:t>
      </w:r>
    </w:p>
    <w:p>
      <w:pPr>
        <w:spacing w:before="60" w:after="60"/>
        <w:jc w:val="left"/>
      </w:pPr>
      <w:r>
        <w:rPr>
          <w:rFonts w:ascii="Arial" w:cs="Arial" w:eastAsia="Arial" w:hAnsi="Arial"/>
          <w:b w:val="false"/>
          <w:bCs w:val="false"/>
          <w:i w:val="false"/>
          <w:iCs w:val="false"/>
          <w:color w:val="000000"/>
          <w:sz w:val="20"/>
          <w:szCs w:val="20"/>
        </w:rPr>
        <w:t xml:space="preserve">AUC-SV was performed at 40,000 rpm (An-50 Ti rotor, Beckman Optima AUC) at 20°C in PBS pH 7.4. Sedimentation coefficient distributions were calculated using the continuous c(s) model in SEDFIT. Results confirmed the predominant monomer species at S20,w ≈ 6.4 S with no significant ultracentrifugation-resolved aggregates observed above 0.5% threshold.</w:t>
      </w:r>
    </w:p>
    <w:p>
      <w:pPr>
        <w:pStyle w:val="Heading3"/>
        <w:spacing w:before="180" w:after="80"/>
      </w:pPr>
      <w:r>
        <w:rPr>
          <w:rFonts w:ascii="Arial" w:cs="Arial" w:eastAsia="Arial" w:hAnsi="Arial"/>
          <w:b/>
          <w:bCs/>
          <w:color w:val="000000"/>
          <w:sz w:val="22"/>
          <w:szCs w:val="22"/>
        </w:rPr>
        <w:t xml:space="preserve">3.1.3 Dynamic Light Scattering (DLS)</w:t>
      </w:r>
    </w:p>
    <w:p>
      <w:pPr>
        <w:spacing w:before="60" w:after="60"/>
        <w:jc w:val="left"/>
      </w:pPr>
      <w:r>
        <w:rPr>
          <w:rFonts w:ascii="Arial" w:cs="Arial" w:eastAsia="Arial" w:hAnsi="Arial"/>
          <w:b w:val="false"/>
          <w:bCs w:val="false"/>
          <w:i w:val="false"/>
          <w:iCs w:val="false"/>
          <w:color w:val="000000"/>
          <w:sz w:val="20"/>
          <w:szCs w:val="20"/>
        </w:rPr>
        <w:t xml:space="preserve">DLS measurements (Zetasizer Ultra, Malvern Panalytical) in 20 mM histidine, 140 mM NaCl, 0.04% PS80, pH 5.8 (drug substance formulation buffer) yielded a Z-average hydrodynamic diameter of 11.2 ± 0.4 nm with polydispersity index (PDI) ≤ 0.08, consistent with a monodisperse monoclonal antibody preparation.</w:t>
      </w:r>
    </w:p>
    <w:p>
      <w:pPr>
        <w:pStyle w:val="Heading2"/>
        <w:spacing w:before="240" w:after="120"/>
      </w:pPr>
      <w:r>
        <w:rPr>
          <w:rFonts w:ascii="Arial" w:cs="Arial" w:eastAsia="Arial" w:hAnsi="Arial"/>
          <w:b/>
          <w:bCs/>
          <w:color w:val="2E6DA4"/>
          <w:sz w:val="24"/>
          <w:szCs w:val="24"/>
        </w:rPr>
        <w:t xml:space="preserve">3.2 Charge Heterogeneity</w:t>
      </w:r>
    </w:p>
    <w:p>
      <w:pPr>
        <w:pStyle w:val="Heading3"/>
        <w:spacing w:before="180" w:after="80"/>
      </w:pPr>
      <w:r>
        <w:rPr>
          <w:rFonts w:ascii="Arial" w:cs="Arial" w:eastAsia="Arial" w:hAnsi="Arial"/>
          <w:b/>
          <w:bCs/>
          <w:color w:val="000000"/>
          <w:sz w:val="22"/>
          <w:szCs w:val="22"/>
        </w:rPr>
        <w:t xml:space="preserve">3.2.1 Imaged Capillary Isoelectric Focusing (icIEF)</w:t>
      </w:r>
    </w:p>
    <w:p>
      <w:pPr>
        <w:spacing w:before="60" w:after="60"/>
        <w:jc w:val="left"/>
      </w:pPr>
      <w:r>
        <w:rPr>
          <w:rFonts w:ascii="Arial" w:cs="Arial" w:eastAsia="Arial" w:hAnsi="Arial"/>
          <w:b w:val="false"/>
          <w:bCs w:val="false"/>
          <w:i w:val="false"/>
          <w:iCs w:val="false"/>
          <w:color w:val="000000"/>
          <w:sz w:val="20"/>
          <w:szCs w:val="20"/>
        </w:rPr>
        <w:t xml:space="preserve">icIEF analysis was performed using the iCE3 system (ProteinSimple) with Pharmalyte 3-10 carrier ampholytes. Two pI markers (pI 7.00 and pI 9.22) were employed for calibration. Cervimab exhibits a major isoform cluster at pI 8.3–8.5, with acidic variants (pI &lt; 8.2) attributable primarily to deamidation and sialylation, and basic variants (pI &gt; 8.6) attributable to C-terminal lysine retention and N-terminal cyclization incomplete processing.</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2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Acceptance Criteria</w:t>
            </w:r>
          </w:p>
        </w:tc>
        <w:tc>
          <w:tcPr>
            <w:tcW w:type="dxa" w:w="19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Acidic Species (%)</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icIEF (ProteinSimple iCE3)</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15.0%</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10.2 ± 1.1%</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Main Peak (%)</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icIEF (ProteinSimple iCE3)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75.0%</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81.4 ± 1.8%</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Basic Species (%)</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icIEF (ProteinSimple iCE3)</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15.0%</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8.4 ± 0.9%</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Major pI (isoform peak)</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icIEF (ProteinSimple iCE3)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8.2 – 8.7</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8.41 ± 0.04</w:t>
            </w:r>
          </w:p>
        </w:tc>
      </w:tr>
    </w:tbl>
    <w:p>
      <w:pPr>
        <w:pStyle w:val="Heading3"/>
        <w:spacing w:before="180" w:after="80"/>
      </w:pPr>
      <w:r>
        <w:rPr>
          <w:rFonts w:ascii="Arial" w:cs="Arial" w:eastAsia="Arial" w:hAnsi="Arial"/>
          <w:b/>
          <w:bCs/>
          <w:color w:val="000000"/>
          <w:sz w:val="22"/>
          <w:szCs w:val="22"/>
        </w:rPr>
        <w:t xml:space="preserve">3.2.2 Cation Exchange Chromatography (CEX-HPLC)</w:t>
      </w:r>
    </w:p>
    <w:p>
      <w:pPr>
        <w:spacing w:before="60" w:after="60"/>
        <w:jc w:val="left"/>
      </w:pPr>
      <w:r>
        <w:rPr>
          <w:rFonts w:ascii="Arial" w:cs="Arial" w:eastAsia="Arial" w:hAnsi="Arial"/>
          <w:b w:val="false"/>
          <w:bCs w:val="false"/>
          <w:i w:val="false"/>
          <w:iCs w:val="false"/>
          <w:color w:val="000000"/>
          <w:sz w:val="20"/>
          <w:szCs w:val="20"/>
        </w:rPr>
        <w:t xml:space="preserve">CEX was performed on a ProPac WCX-10 column (Thermo Fisher Scientific) using a linear gradient of 25 mM MES to 200 mM NaCl, pH 5.6. Charge variant profiles were consistent with icIEF results, with the main peak eluting at approximately 12.5 minutes under the established gradient conditions. Method provides orthogonal confirmation of icIEF charge heterogeneity data.</w:t>
      </w:r>
    </w:p>
    <w:p>
      <w:pPr>
        <w:pStyle w:val="Heading2"/>
        <w:spacing w:before="240" w:after="120"/>
      </w:pPr>
      <w:r>
        <w:rPr>
          <w:rFonts w:ascii="Arial" w:cs="Arial" w:eastAsia="Arial" w:hAnsi="Arial"/>
          <w:b/>
          <w:bCs/>
          <w:color w:val="2E6DA4"/>
          <w:sz w:val="24"/>
          <w:szCs w:val="24"/>
        </w:rPr>
        <w:t xml:space="preserve">3.3 Higher-Order Structure</w:t>
      </w:r>
    </w:p>
    <w:p>
      <w:pPr>
        <w:pStyle w:val="Heading3"/>
        <w:spacing w:before="180" w:after="80"/>
      </w:pPr>
      <w:r>
        <w:rPr>
          <w:rFonts w:ascii="Arial" w:cs="Arial" w:eastAsia="Arial" w:hAnsi="Arial"/>
          <w:b/>
          <w:bCs/>
          <w:color w:val="000000"/>
          <w:sz w:val="22"/>
          <w:szCs w:val="22"/>
        </w:rPr>
        <w:t xml:space="preserve">3.3.1 Secondary Structure — Far-UV Circular Dichroism (CD)</w:t>
      </w:r>
    </w:p>
    <w:p>
      <w:pPr>
        <w:spacing w:before="60" w:after="60"/>
        <w:jc w:val="left"/>
      </w:pPr>
      <w:r>
        <w:rPr>
          <w:rFonts w:ascii="Arial" w:cs="Arial" w:eastAsia="Arial" w:hAnsi="Arial"/>
          <w:b w:val="false"/>
          <w:bCs w:val="false"/>
          <w:i w:val="false"/>
          <w:iCs w:val="false"/>
          <w:color w:val="000000"/>
          <w:sz w:val="20"/>
          <w:szCs w:val="20"/>
        </w:rPr>
        <w:t xml:space="preserve">Far-UV CD spectra (190–260 nm) were collected at 0.5 mg/mL in 10 mM phosphate buffer pH 7.4 using a Jasco J-1500 spectrometer with 1 mm path length cuvette. Deconvolution using CDSSTR algorithm against the SP175 reference dataset yielded secondary structure composition consistent with a predominantly β-sheet protein:</w:t>
      </w:r>
    </w:p>
    <w:p>
      <w:pPr>
        <w:pStyle w:val="ListParagraph"/>
        <w:numPr>
          <w:ilvl w:val="0"/>
          <w:numId w:val="2"/>
        </w:numPr>
        <w:spacing w:before="40" w:after="40"/>
      </w:pPr>
      <w:r>
        <w:rPr>
          <w:rFonts w:ascii="Arial" w:cs="Arial" w:eastAsia="Arial" w:hAnsi="Arial"/>
          <w:b w:val="false"/>
          <w:bCs w:val="false"/>
          <w:sz w:val="20"/>
          <w:szCs w:val="20"/>
        </w:rPr>
        <w:t xml:space="preserve">β-sheet: 41.2 ± 2.1%</w:t>
      </w:r>
    </w:p>
    <w:p>
      <w:pPr>
        <w:pStyle w:val="ListParagraph"/>
        <w:numPr>
          <w:ilvl w:val="0"/>
          <w:numId w:val="2"/>
        </w:numPr>
        <w:spacing w:before="40" w:after="40"/>
      </w:pPr>
      <w:r>
        <w:rPr>
          <w:rFonts w:ascii="Arial" w:cs="Arial" w:eastAsia="Arial" w:hAnsi="Arial"/>
          <w:b w:val="false"/>
          <w:bCs w:val="false"/>
          <w:sz w:val="20"/>
          <w:szCs w:val="20"/>
        </w:rPr>
        <w:t xml:space="preserve">β-turn: 22.8 ± 1.4%</w:t>
      </w:r>
    </w:p>
    <w:p>
      <w:pPr>
        <w:pStyle w:val="ListParagraph"/>
        <w:numPr>
          <w:ilvl w:val="0"/>
          <w:numId w:val="2"/>
        </w:numPr>
        <w:spacing w:before="40" w:after="40"/>
      </w:pPr>
      <w:r>
        <w:rPr>
          <w:rFonts w:ascii="Arial" w:cs="Arial" w:eastAsia="Arial" w:hAnsi="Arial"/>
          <w:b w:val="false"/>
          <w:bCs w:val="false"/>
          <w:sz w:val="20"/>
          <w:szCs w:val="20"/>
        </w:rPr>
        <w:t xml:space="preserve">Random coil: 26.5 ± 1.9%</w:t>
      </w:r>
    </w:p>
    <w:p>
      <w:pPr>
        <w:pStyle w:val="ListParagraph"/>
        <w:numPr>
          <w:ilvl w:val="0"/>
          <w:numId w:val="2"/>
        </w:numPr>
        <w:spacing w:before="40" w:after="40"/>
      </w:pPr>
      <w:r>
        <w:rPr>
          <w:rFonts w:ascii="Arial" w:cs="Arial" w:eastAsia="Arial" w:hAnsi="Arial"/>
          <w:b w:val="false"/>
          <w:bCs w:val="false"/>
          <w:sz w:val="20"/>
          <w:szCs w:val="20"/>
        </w:rPr>
        <w:t xml:space="preserve">α-helix: 9.5 ± 1.2%</w:t>
      </w:r>
    </w:p>
    <w:p>
      <w:pPr>
        <w:spacing w:before="60" w:after="60"/>
        <w:jc w:val="left"/>
      </w:pPr>
      <w:r>
        <w:rPr>
          <w:rFonts w:ascii="Arial" w:cs="Arial" w:eastAsia="Arial" w:hAnsi="Arial"/>
          <w:b w:val="false"/>
          <w:bCs w:val="false"/>
          <w:i w:val="false"/>
          <w:iCs w:val="false"/>
          <w:color w:val="000000"/>
          <w:sz w:val="20"/>
          <w:szCs w:val="20"/>
        </w:rPr>
        <w:t xml:space="preserve">Results are consistent with expected IgG4 secondary structure composition reported in the literature and are reproducible across all three characterized lots (overlay RMS deviation &lt; 5%).</w:t>
      </w:r>
    </w:p>
    <w:p>
      <w:pPr>
        <w:pStyle w:val="Heading3"/>
        <w:spacing w:before="180" w:after="80"/>
      </w:pPr>
      <w:r>
        <w:rPr>
          <w:rFonts w:ascii="Arial" w:cs="Arial" w:eastAsia="Arial" w:hAnsi="Arial"/>
          <w:b/>
          <w:bCs/>
          <w:color w:val="000000"/>
          <w:sz w:val="22"/>
          <w:szCs w:val="22"/>
        </w:rPr>
        <w:t xml:space="preserve">3.3.2 Tertiary Structure — Intrinsic Fluorescence and Near-UV CD</w:t>
      </w:r>
    </w:p>
    <w:p>
      <w:pPr>
        <w:spacing w:before="60" w:after="60"/>
        <w:jc w:val="left"/>
      </w:pPr>
      <w:r>
        <w:rPr>
          <w:rFonts w:ascii="Arial" w:cs="Arial" w:eastAsia="Arial" w:hAnsi="Arial"/>
          <w:b w:val="false"/>
          <w:bCs w:val="false"/>
          <w:i w:val="false"/>
          <w:iCs w:val="false"/>
          <w:color w:val="000000"/>
          <w:sz w:val="20"/>
          <w:szCs w:val="20"/>
        </w:rPr>
        <w:t xml:space="preserve">Intrinsic fluorescence emission spectra (excitation 280 nm; emission 300–400 nm) demonstrate a λmax at 336 nm at 0.1 mg/mL in PBS pH 7.4, consistent with partially buried tryptophan residues in the native folded IgG4 framework. Near-UV CD spectra (250–320 nm) confirm a rigid, folded tertiary environment around aromatic residues (Trp, Tyr, Phe) characteristic of correctly folded IgG structure.</w:t>
      </w:r>
    </w:p>
    <w:p>
      <w:pPr>
        <w:pStyle w:val="Heading3"/>
        <w:spacing w:before="180" w:after="80"/>
      </w:pPr>
      <w:r>
        <w:rPr>
          <w:rFonts w:ascii="Arial" w:cs="Arial" w:eastAsia="Arial" w:hAnsi="Arial"/>
          <w:b/>
          <w:bCs/>
          <w:color w:val="000000"/>
          <w:sz w:val="22"/>
          <w:szCs w:val="22"/>
        </w:rPr>
        <w:t xml:space="preserve">3.3.3 Hydrogen-Deuterium Exchange Mass Spectrometry (HDX-MS)</w:t>
      </w:r>
    </w:p>
    <w:p>
      <w:pPr>
        <w:spacing w:before="60" w:after="60"/>
        <w:jc w:val="left"/>
      </w:pPr>
      <w:r>
        <w:rPr>
          <w:rFonts w:ascii="Arial" w:cs="Arial" w:eastAsia="Arial" w:hAnsi="Arial"/>
          <w:b w:val="false"/>
          <w:bCs w:val="false"/>
          <w:i w:val="false"/>
          <w:iCs w:val="false"/>
          <w:color w:val="000000"/>
          <w:sz w:val="20"/>
          <w:szCs w:val="20"/>
        </w:rPr>
        <w:t xml:space="preserve">HDX-MS analysis was performed using an Acquity UPLC M-Class system coupled to a SYNAPT G2-Si mass spectrometer (Waters). HDX labeling was conducted at 25°C in deuterated PBS (pD 7.4) for 0.5, 5, 30, and 120 minutes. Differential HDX maps across the variable regions (VH/VL), hinge, and Fc domains are consistent with the expected accessibility profiles for a properly folded IgG4. No anomalous deuterium uptake indicative of conformational instability or unexpected domain exposure was detected.</w:t>
      </w:r>
    </w:p>
    <w:p>
      <w:pPr>
        <w:pStyle w:val="Heading3"/>
        <w:spacing w:before="180" w:after="80"/>
      </w:pPr>
      <w:r>
        <w:rPr>
          <w:rFonts w:ascii="Arial" w:cs="Arial" w:eastAsia="Arial" w:hAnsi="Arial"/>
          <w:b/>
          <w:bCs/>
          <w:color w:val="000000"/>
          <w:sz w:val="22"/>
          <w:szCs w:val="22"/>
        </w:rPr>
        <w:t xml:space="preserve">3.3.4 Thermal Stability — Differential Scanning Fluorimetry (DSF) and DSC</w:t>
      </w:r>
    </w:p>
    <w:p>
      <w:pPr>
        <w:spacing w:before="60" w:after="60"/>
        <w:jc w:val="left"/>
      </w:pPr>
      <w:r>
        <w:rPr>
          <w:rFonts w:ascii="Arial" w:cs="Arial" w:eastAsia="Arial" w:hAnsi="Arial"/>
          <w:b w:val="false"/>
          <w:bCs w:val="false"/>
          <w:i w:val="false"/>
          <w:iCs w:val="false"/>
          <w:color w:val="000000"/>
          <w:sz w:val="20"/>
          <w:szCs w:val="20"/>
        </w:rPr>
        <w:t xml:space="preserve">Differential Scanning Calorimetry (DSC) was performed at 1 mg/mL in formulation buffer using a MicroCal VP-Capillary DSC (Malvern). Two well-resolved thermal unfolding transitions were observed:</w:t>
      </w:r>
    </w:p>
    <w:p>
      <w:pPr>
        <w:pStyle w:val="ListParagraph"/>
        <w:numPr>
          <w:ilvl w:val="0"/>
          <w:numId w:val="2"/>
        </w:numPr>
        <w:spacing w:before="40" w:after="40"/>
      </w:pPr>
      <w:r>
        <w:rPr>
          <w:rFonts w:ascii="Arial" w:cs="Arial" w:eastAsia="Arial" w:hAnsi="Arial"/>
          <w:b w:val="false"/>
          <w:bCs w:val="false"/>
          <w:sz w:val="20"/>
          <w:szCs w:val="20"/>
        </w:rPr>
        <w:t xml:space="preserve">Tm1: 71.4 ± 0.3°C (attributed to CH2 domain unfolding)</w:t>
      </w:r>
    </w:p>
    <w:p>
      <w:pPr>
        <w:pStyle w:val="ListParagraph"/>
        <w:numPr>
          <w:ilvl w:val="0"/>
          <w:numId w:val="2"/>
        </w:numPr>
        <w:spacing w:before="40" w:after="40"/>
      </w:pPr>
      <w:r>
        <w:rPr>
          <w:rFonts w:ascii="Arial" w:cs="Arial" w:eastAsia="Arial" w:hAnsi="Arial"/>
          <w:b w:val="false"/>
          <w:bCs w:val="false"/>
          <w:sz w:val="20"/>
          <w:szCs w:val="20"/>
        </w:rPr>
        <w:t xml:space="preserve">Tm2: 84.6 ± 0.4°C (attributed to Fab/CH3 domain unfolding)</w:t>
      </w:r>
    </w:p>
    <w:p>
      <w:pPr>
        <w:spacing w:before="60" w:after="60"/>
        <w:jc w:val="left"/>
      </w:pPr>
      <w:r>
        <w:rPr>
          <w:rFonts w:ascii="Arial" w:cs="Arial" w:eastAsia="Arial" w:hAnsi="Arial"/>
          <w:b w:val="false"/>
          <w:bCs w:val="false"/>
          <w:i w:val="false"/>
          <w:iCs w:val="false"/>
          <w:color w:val="000000"/>
          <w:sz w:val="20"/>
          <w:szCs w:val="20"/>
        </w:rPr>
        <w:t xml:space="preserve">These melting temperatures indicate robust conformational stability of the Cervimab molecule under formulation conditions and are consistent with values reported for IgG4 antibodies bearing the S228P hinge stabilization mutation.</w:t>
      </w:r>
    </w:p>
    <w:p>
      <w:r>
        <w:br w:type="page"/>
      </w:r>
    </w:p>
    <w:p>
      <w:pPr>
        <w:pStyle w:val="Heading1"/>
        <w:spacing w:before="320" w:after="160"/>
      </w:pPr>
      <w:r>
        <w:rPr>
          <w:rFonts w:ascii="Arial" w:cs="Arial" w:eastAsia="Arial" w:hAnsi="Arial"/>
          <w:b/>
          <w:bCs/>
          <w:color w:val="1F3864"/>
          <w:sz w:val="28"/>
          <w:szCs w:val="28"/>
        </w:rPr>
        <w:t xml:space="preserve">4. POST-TRANSLATIONAL MODIFICATIONS</w:t>
      </w:r>
    </w:p>
    <w:p>
      <w:pPr>
        <w:pStyle w:val="Heading2"/>
        <w:spacing w:before="240" w:after="120"/>
      </w:pPr>
      <w:r>
        <w:rPr>
          <w:rFonts w:ascii="Arial" w:cs="Arial" w:eastAsia="Arial" w:hAnsi="Arial"/>
          <w:b/>
          <w:bCs/>
          <w:color w:val="2E6DA4"/>
          <w:sz w:val="24"/>
          <w:szCs w:val="24"/>
        </w:rPr>
        <w:t xml:space="preserve">4.1 N-Linked Glycosylation Characterization</w:t>
      </w:r>
    </w:p>
    <w:p>
      <w:pPr>
        <w:spacing w:before="60" w:after="60"/>
        <w:jc w:val="left"/>
      </w:pPr>
      <w:r>
        <w:rPr>
          <w:rFonts w:ascii="Arial" w:cs="Arial" w:eastAsia="Arial" w:hAnsi="Arial"/>
          <w:b w:val="false"/>
          <w:bCs w:val="false"/>
          <w:i w:val="false"/>
          <w:iCs w:val="false"/>
          <w:color w:val="000000"/>
          <w:sz w:val="20"/>
          <w:szCs w:val="20"/>
        </w:rPr>
        <w:t xml:space="preserve">Glycan characterization of Cervimab was performed using orthogonal methods including: (1) released N-glycan profiling by 2-AB fluorescent labeling with HILIC-UPLC-FLD (Waters Acquity H-Class), (2) intact glycoform analysis by native mass spectrometry (Orbitrap Eclipse, Thermo Fisher Scientific), and (3) site-specific glycoform analysis by peptide mapping LC-MS/MS following PNGase F and Endo H digestion.</w:t>
      </w:r>
    </w:p>
    <w:p>
      <w:pPr>
        <w:spacing w:before="0" w:after="0"/>
      </w:pPr>
      <w:r>
        <w:rPr>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The single N-glycosylation site (Asn-301 in each heavy chain, Asn297 per EU numbering) was confirmed by peptide mapping. The predominant glycan forms identified are complex-type biantennary structures. The glycan profile is consistent with a typical CHO-derived IgG Fc glycosylation pattern: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2000"/>
        <w:gridCol w:w="1800"/>
      </w:tblGrid>
      <w:tr>
        <w:tc>
          <w:tcPr>
            <w:tcW w:type="dxa" w:w="17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Glycan Species</w:t>
            </w:r>
          </w:p>
        </w:tc>
        <w:tc>
          <w:tcPr>
            <w:tcW w:type="dxa" w:w="38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Glycan Composition</w:t>
            </w:r>
          </w:p>
        </w:tc>
        <w:tc>
          <w:tcPr>
            <w:tcW w:type="dxa" w:w="20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Relative Abundance (Mean)</w:t>
            </w:r>
          </w:p>
        </w:tc>
        <w:tc>
          <w:tcPr>
            <w:tcW w:type="dxa" w:w="18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CV% (n=3 lots)</w:t>
            </w:r>
          </w:p>
        </w:tc>
      </w:tr>
      <w:tr>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G0F</w:t>
            </w:r>
          </w:p>
        </w:tc>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GlcNAc4Man3GlcNAc2Fuc1</w:t>
            </w:r>
          </w:p>
        </w:tc>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38.4 ± 2.1%</w:t>
            </w:r>
          </w:p>
        </w:tc>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5.5%</w:t>
            </w:r>
          </w:p>
        </w:tc>
      </w:tr>
      <w:tr>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G1F(α6)</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GlcNAc4Man3GlcNAc2Gal1Fuc1 (α6-arm)</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21.2 ± 1.8%</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8.5%</w:t>
            </w:r>
          </w:p>
        </w:tc>
      </w:tr>
      <w:tr>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G1F(α3)</w:t>
            </w:r>
          </w:p>
        </w:tc>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GlcNAc4Man3GlcNAc2Gal1Fuc1 (α3-arm)</w:t>
            </w:r>
          </w:p>
        </w:tc>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14.6 ± 1.4%</w:t>
            </w:r>
          </w:p>
        </w:tc>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9.6%</w:t>
            </w:r>
          </w:p>
        </w:tc>
      </w:tr>
      <w:tr>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G2F</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GlcNAc4Man3GlcNAc2Gal2Fuc1</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9.8 ± 1.2%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12.2%</w:t>
            </w:r>
          </w:p>
        </w:tc>
      </w:tr>
      <w:tr>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Man5</w:t>
            </w:r>
          </w:p>
        </w:tc>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Man5GlcNAc2</w:t>
            </w:r>
          </w:p>
        </w:tc>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3.2 ± 0.6%</w:t>
            </w:r>
          </w:p>
        </w:tc>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18.8%</w:t>
            </w:r>
          </w:p>
        </w:tc>
      </w:tr>
      <w:tr>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G0</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GlcNAc4Man3GlcNAc2 (afucosyl)</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4.1 ± 0.7%</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17.1%</w:t>
            </w:r>
          </w:p>
        </w:tc>
      </w:tr>
      <w:tr>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G1F+NeuAc</w:t>
            </w:r>
          </w:p>
        </w:tc>
        <w:tc>
          <w:tcPr>
            <w:tcW w:type="dxa" w:w="3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Sialylated G1F mono-sial</w:t>
            </w:r>
          </w:p>
        </w:tc>
        <w:tc>
          <w:tcPr>
            <w:tcW w:type="dxa" w:w="20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5.7 ± 0.8%</w:t>
            </w:r>
          </w:p>
        </w:tc>
        <w:tc>
          <w:tcPr>
            <w:tcW w:type="dxa" w:w="18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14.0%</w:t>
            </w:r>
          </w:p>
        </w:tc>
      </w:tr>
      <w:tr>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Others</w:t>
            </w:r>
          </w:p>
        </w:tc>
        <w:tc>
          <w:tcPr>
            <w:tcW w:type="dxa" w:w="3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iCs/>
                <w:color w:val="000000"/>
                <w:sz w:val="18"/>
                <w:szCs w:val="18"/>
              </w:rPr>
              <w:t xml:space="preserve">Minor species (&lt;1% each)</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3.0 ± 0.5%</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w:t>
            </w:r>
          </w:p>
        </w:tc>
      </w:tr>
    </w:tbl>
    <w:p>
      <w:pPr>
        <w:spacing w:before="60" w:after="60"/>
        <w:jc w:val="left"/>
      </w:pPr>
      <w:r>
        <w:rPr>
          <w:rFonts w:ascii="Arial" w:cs="Arial" w:eastAsia="Arial" w:hAnsi="Arial"/>
          <w:b w:val="false"/>
          <w:bCs w:val="false"/>
          <w:i/>
          <w:iCs/>
          <w:color w:val="000000"/>
          <w:sz w:val="18"/>
          <w:szCs w:val="18"/>
        </w:rPr>
        <w:t xml:space="preserve">Afucosylation (G0 + other non-fucosylated species) total: ~7.8%, which is within typical CHO manufacturing range. Low-fucose glycoforms are noted for their potential to enhance FcγRIIIa binding; this characterization will inform ongoing FcγR binding assessment.</w:t>
      </w:r>
    </w:p>
    <w:p>
      <w:pPr>
        <w:pStyle w:val="Heading2"/>
        <w:spacing w:before="240" w:after="120"/>
      </w:pPr>
      <w:r>
        <w:rPr>
          <w:rFonts w:ascii="Arial" w:cs="Arial" w:eastAsia="Arial" w:hAnsi="Arial"/>
          <w:b/>
          <w:bCs/>
          <w:color w:val="2E6DA4"/>
          <w:sz w:val="24"/>
          <w:szCs w:val="24"/>
        </w:rPr>
        <w:t xml:space="preserve">4.2 Peptide Mapping and Sequence Variant Analysis</w:t>
      </w:r>
    </w:p>
    <w:p>
      <w:pPr>
        <w:spacing w:before="60" w:after="60"/>
        <w:jc w:val="left"/>
      </w:pPr>
      <w:r>
        <w:rPr>
          <w:rFonts w:ascii="Arial" w:cs="Arial" w:eastAsia="Arial" w:hAnsi="Arial"/>
          <w:b w:val="false"/>
          <w:bCs w:val="false"/>
          <w:i w:val="false"/>
          <w:iCs w:val="false"/>
          <w:color w:val="000000"/>
          <w:sz w:val="20"/>
          <w:szCs w:val="20"/>
        </w:rPr>
        <w:t xml:space="preserve">Tryptic peptide mapping with LC-MS/MS (Orbitrap Fusion Lumos; SEQUEST HT database search) was performed on three independent drug substance lots. Primary sequence coverage was ≥99.5% for both heavy and light chains. The following modifications were identified and quantified:</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2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Acceptance Criteria</w:t>
            </w:r>
          </w:p>
        </w:tc>
        <w:tc>
          <w:tcPr>
            <w:tcW w:type="dxa" w:w="19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Deamidation (Asn-HC)</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Peptide Mapping LC-MS/MS</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 / ≤ 5.0% at critical sites</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1.8 ± 0.4% (Asn55)</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Deamidation (Asn-LC)</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Peptide Mapping LC-MS/MS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 / ≤ 5.0%</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0.9 ± 0.3%</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Oxidation (Met)</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Peptide Mapping LC-MS/MS</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 / ≤ 5.0%</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1.2 ± 0.4% (Met252)</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C-terminal Lys clipping (HC)</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Peptide Mapping / Intact MS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 (expected ≥95% clipped)</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97.2 ± 0.9%</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N-terminal pyroglutamate (HC)</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Peptide Mapping / Intact MS</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 (expected ≥90%)</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94.5 ± 1.1%</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Sequence variants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Peptide Mapping LC-MS/MS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0.1% per site</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No variants detected</w:t>
            </w:r>
          </w:p>
        </w:tc>
      </w:tr>
    </w:tbl>
    <w:p>
      <w:pPr>
        <w:pStyle w:val="Heading2"/>
        <w:spacing w:before="240" w:after="120"/>
      </w:pPr>
      <w:r>
        <w:rPr>
          <w:rFonts w:ascii="Arial" w:cs="Arial" w:eastAsia="Arial" w:hAnsi="Arial"/>
          <w:b/>
          <w:bCs/>
          <w:color w:val="2E6DA4"/>
          <w:sz w:val="24"/>
          <w:szCs w:val="24"/>
        </w:rPr>
        <w:t xml:space="preserve">4.3 Disulfide Bond Analysis</w:t>
      </w:r>
    </w:p>
    <w:p>
      <w:pPr>
        <w:spacing w:before="60" w:after="60"/>
        <w:jc w:val="left"/>
      </w:pPr>
      <w:r>
        <w:rPr>
          <w:rFonts w:ascii="Arial" w:cs="Arial" w:eastAsia="Arial" w:hAnsi="Arial"/>
          <w:b w:val="false"/>
          <w:bCs w:val="false"/>
          <w:i w:val="false"/>
          <w:iCs w:val="false"/>
          <w:color w:val="000000"/>
          <w:sz w:val="20"/>
          <w:szCs w:val="20"/>
        </w:rPr>
        <w:t xml:space="preserve">Disulfide bond mapping was performed by non-reduced peptide mapping under acidic quench conditions. Twelve expected disulfide bonds were confirmed with ≥98% pairing fidelity across all characterized lots. No free thiol species above 0.2 mol/mol antibody were detected by Ellman's assay (5,5'-dithiobis-(2-nitrobenzoic acid)), consistent with complete and correct disulfide bond formation.</w:t>
      </w:r>
    </w:p>
    <w:p>
      <w:r>
        <w:br w:type="page"/>
      </w:r>
    </w:p>
    <w:p>
      <w:pPr>
        <w:pStyle w:val="Heading1"/>
        <w:spacing w:before="320" w:after="160"/>
      </w:pPr>
      <w:r>
        <w:rPr>
          <w:rFonts w:ascii="Arial" w:cs="Arial" w:eastAsia="Arial" w:hAnsi="Arial"/>
          <w:b/>
          <w:bCs/>
          <w:color w:val="1F3864"/>
          <w:sz w:val="28"/>
          <w:szCs w:val="28"/>
        </w:rPr>
        <w:t xml:space="preserve">5. BIOLOGICAL CHARACTERIZATION</w:t>
      </w:r>
    </w:p>
    <w:p>
      <w:pPr>
        <w:pStyle w:val="Heading2"/>
        <w:spacing w:before="240" w:after="120"/>
      </w:pPr>
      <w:r>
        <w:rPr>
          <w:rFonts w:ascii="Arial" w:cs="Arial" w:eastAsia="Arial" w:hAnsi="Arial"/>
          <w:b/>
          <w:bCs/>
          <w:color w:val="2E6DA4"/>
          <w:sz w:val="24"/>
          <w:szCs w:val="24"/>
        </w:rPr>
        <w:t xml:space="preserve">5.1 PD-1 Binding Affinity — Surface Plasmon Resonance (SPR)</w:t>
      </w:r>
    </w:p>
    <w:p>
      <w:pPr>
        <w:spacing w:before="60" w:after="60"/>
        <w:jc w:val="left"/>
      </w:pPr>
      <w:r>
        <w:rPr>
          <w:rFonts w:ascii="Arial" w:cs="Arial" w:eastAsia="Arial" w:hAnsi="Arial"/>
          <w:b w:val="false"/>
          <w:bCs w:val="false"/>
          <w:i w:val="false"/>
          <w:iCs w:val="false"/>
          <w:color w:val="000000"/>
          <w:sz w:val="20"/>
          <w:szCs w:val="20"/>
        </w:rPr>
        <w:t xml:space="preserve">Binding kinetics to recombinant human PD-1 extracellular domain (ECD; R&amp;D Systems, Cat. No. 8986-PD) were determined by SPR using a Biacore T200 system (Cytiva) at 25°C. PD-1-ECD was immobilized on a CM5 chip via amine coupling. Single-cycle kinetic analysis was performed using five Cervimab concentrations (0.78 – 12.5 nM) with Pembrolizumab and Nivolumab reference standards included in each run.</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760"/>
        <w:gridCol w:w="1400"/>
      </w:tblGrid>
      <w:tr>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Analyte</w:t>
            </w:r>
          </w:p>
        </w:tc>
        <w:tc>
          <w:tcPr>
            <w:tcW w:type="dxa" w:w="19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 (1/Ms × 10⁵)</w:t>
            </w:r>
          </w:p>
        </w:tc>
        <w:tc>
          <w:tcPr>
            <w:tcW w:type="dxa" w:w="19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kd (1/s × 10⁻⁴)</w:t>
            </w:r>
          </w:p>
        </w:tc>
        <w:tc>
          <w:tcPr>
            <w:tcW w:type="dxa" w:w="17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KD (nM)</w:t>
            </w:r>
          </w:p>
        </w:tc>
        <w:tc>
          <w:tcPr>
            <w:tcW w:type="dxa" w:w="1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χ² (RU²)</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Cervimab (Lot DS-001)</w:t>
            </w:r>
          </w:p>
        </w:tc>
        <w:tc>
          <w:tcPr>
            <w:tcW w:type="dxa" w:w="19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4.32 ± 0.21</w:t>
            </w:r>
          </w:p>
        </w:tc>
        <w:tc>
          <w:tcPr>
            <w:tcW w:type="dxa" w:w="19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1.41 ± 0.12</w:t>
            </w:r>
          </w:p>
        </w:tc>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0.327 ± 0.028</w:t>
            </w:r>
          </w:p>
        </w:tc>
        <w:tc>
          <w:tcPr>
            <w:tcW w:type="dxa" w:w="1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0.42</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Cervimab (Lot DS-002)</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4.28 ± 0.18</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1.38 ± 0.10</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0.322 ± 0.024</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0.38</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Cervimab (Lot DS-003)</w:t>
            </w:r>
          </w:p>
        </w:tc>
        <w:tc>
          <w:tcPr>
            <w:tcW w:type="dxa" w:w="19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4.35 ± 0.22</w:t>
            </w:r>
          </w:p>
        </w:tc>
        <w:tc>
          <w:tcPr>
            <w:tcW w:type="dxa" w:w="19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1.44 ± 0.14</w:t>
            </w:r>
          </w:p>
        </w:tc>
        <w:tc>
          <w:tcPr>
            <w:tcW w:type="dxa" w:w="17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0.331 ± 0.031</w:t>
            </w:r>
          </w:p>
        </w:tc>
        <w:tc>
          <w:tcPr>
            <w:tcW w:type="dxa" w:w="1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0.45</w:t>
            </w:r>
          </w:p>
        </w:tc>
      </w:tr>
      <w:tr>
        <w:tc>
          <w:tcPr>
            <w:tcW w:type="dxa" w:w="24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Pembrolizumab (reference)</w:t>
            </w:r>
          </w:p>
        </w:tc>
        <w:tc>
          <w:tcPr>
            <w:tcW w:type="dxa" w:w="1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3.87 ± 0.30</w:t>
            </w:r>
          </w:p>
        </w:tc>
        <w:tc>
          <w:tcPr>
            <w:tcW w:type="dxa" w:w="1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1.52 ± 0.15</w:t>
            </w:r>
          </w:p>
        </w:tc>
        <w:tc>
          <w:tcPr>
            <w:tcW w:type="dxa" w:w="17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0.393 ± 0.038</w:t>
            </w:r>
          </w:p>
        </w:tc>
        <w:tc>
          <w:tcPr>
            <w:tcW w:type="dxa" w:w="14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0.51</w:t>
            </w:r>
          </w:p>
        </w:tc>
      </w:tr>
      <w:tr>
        <w:tc>
          <w:tcPr>
            <w:tcW w:type="dxa" w:w="24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Nivolumab (reference)</w:t>
            </w:r>
          </w:p>
        </w:tc>
        <w:tc>
          <w:tcPr>
            <w:tcW w:type="dxa" w:w="1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3.41 ± 0.28</w:t>
            </w:r>
          </w:p>
        </w:tc>
        <w:tc>
          <w:tcPr>
            <w:tcW w:type="dxa" w:w="19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1.68 ± 0.18</w:t>
            </w:r>
          </w:p>
        </w:tc>
        <w:tc>
          <w:tcPr>
            <w:tcW w:type="dxa" w:w="17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0.493 ± 0.042</w:t>
            </w:r>
          </w:p>
        </w:tc>
        <w:tc>
          <w:tcPr>
            <w:tcW w:type="dxa" w:w="14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pPr>
              <w:jc w:val="center"/>
            </w:pPr>
            <w:r>
              <w:rPr>
                <w:rFonts w:ascii="Arial" w:cs="Arial" w:eastAsia="Arial" w:hAnsi="Arial"/>
                <w:b w:val="false"/>
                <w:bCs w:val="false"/>
                <w:i w:val="false"/>
                <w:iCs w:val="false"/>
                <w:color w:val="000000"/>
                <w:sz w:val="18"/>
                <w:szCs w:val="18"/>
              </w:rPr>
              <w:t xml:space="preserve">0.55</w:t>
            </w:r>
          </w:p>
        </w:tc>
      </w:tr>
    </w:tbl>
    <w:p>
      <w:pPr>
        <w:spacing w:before="60" w:after="60"/>
        <w:jc w:val="left"/>
      </w:pPr>
      <w:r>
        <w:rPr>
          <w:rFonts w:ascii="Arial" w:cs="Arial" w:eastAsia="Arial" w:hAnsi="Arial"/>
          <w:b w:val="false"/>
          <w:bCs w:val="false"/>
          <w:i/>
          <w:iCs/>
          <w:color w:val="000000"/>
          <w:sz w:val="18"/>
          <w:szCs w:val="18"/>
        </w:rPr>
        <w:t xml:space="preserve">Cervimab demonstrates high-affinity binding to human PD-1 (KD ≈ 0.33 nM), with kinetic constants and affinity comparable to or exceeding approved anti-PD-1 reference antibodies. The binding fit quality (χ² &lt; 1.0 RU²) confirms simple 1:1 Langmuir binding model applicability.</w:t>
      </w:r>
    </w:p>
    <w:p>
      <w:pPr>
        <w:pStyle w:val="Heading2"/>
        <w:spacing w:before="240" w:after="120"/>
      </w:pPr>
      <w:r>
        <w:rPr>
          <w:rFonts w:ascii="Arial" w:cs="Arial" w:eastAsia="Arial" w:hAnsi="Arial"/>
          <w:b/>
          <w:bCs/>
          <w:color w:val="2E6DA4"/>
          <w:sz w:val="24"/>
          <w:szCs w:val="24"/>
        </w:rPr>
        <w:t xml:space="preserve">5.2 Ligand Blocking Activity</w:t>
      </w:r>
    </w:p>
    <w:p>
      <w:pPr>
        <w:spacing w:before="60" w:after="60"/>
        <w:jc w:val="left"/>
      </w:pPr>
      <w:r>
        <w:rPr>
          <w:rFonts w:ascii="Arial" w:cs="Arial" w:eastAsia="Arial" w:hAnsi="Arial"/>
          <w:b w:val="false"/>
          <w:bCs w:val="false"/>
          <w:i w:val="false"/>
          <w:iCs w:val="false"/>
          <w:color w:val="000000"/>
          <w:sz w:val="20"/>
          <w:szCs w:val="20"/>
        </w:rPr>
        <w:t xml:space="preserve">A cell-free ELISA-based competition assay was developed to assess Cervimab's ability to block PD-1/PD-L1 and PD-1/PD-L2 interactions. PD-1-ECD was coated at 1 µg/mL; biotinylated PD-L1-ECD or PD-L2-ECD was added as competitor ligand after Cervimab pre-incubation (0.001 – 100 nM). IC50 values were calculated by 4-parameter logistic regression.</w:t>
      </w:r>
    </w:p>
    <w:p>
      <w:pPr>
        <w:pStyle w:val="ListParagraph"/>
        <w:numPr>
          <w:ilvl w:val="0"/>
          <w:numId w:val="2"/>
        </w:numPr>
        <w:spacing w:before="40" w:after="40"/>
      </w:pPr>
      <w:r>
        <w:rPr>
          <w:rFonts w:ascii="Arial" w:cs="Arial" w:eastAsia="Arial" w:hAnsi="Arial"/>
          <w:b w:val="false"/>
          <w:bCs w:val="false"/>
          <w:sz w:val="20"/>
          <w:szCs w:val="20"/>
        </w:rPr>
        <w:t xml:space="preserve">PD-1/PD-L1 blockade IC50: 0.48 ± 0.06 nM (Cervimab)</w:t>
      </w:r>
    </w:p>
    <w:p>
      <w:pPr>
        <w:pStyle w:val="ListParagraph"/>
        <w:numPr>
          <w:ilvl w:val="0"/>
          <w:numId w:val="2"/>
        </w:numPr>
        <w:spacing w:before="40" w:after="40"/>
      </w:pPr>
      <w:r>
        <w:rPr>
          <w:rFonts w:ascii="Arial" w:cs="Arial" w:eastAsia="Arial" w:hAnsi="Arial"/>
          <w:b w:val="false"/>
          <w:bCs w:val="false"/>
          <w:sz w:val="20"/>
          <w:szCs w:val="20"/>
        </w:rPr>
        <w:t xml:space="preserve">PD-1/PD-L2 blockade IC50: 0.71 ± 0.09 nM (Cervimab)</w:t>
      </w:r>
    </w:p>
    <w:p>
      <w:pPr>
        <w:spacing w:before="60" w:after="60"/>
        <w:jc w:val="left"/>
      </w:pPr>
      <w:r>
        <w:rPr>
          <w:rFonts w:ascii="Arial" w:cs="Arial" w:eastAsia="Arial" w:hAnsi="Arial"/>
          <w:b w:val="false"/>
          <w:bCs w:val="false"/>
          <w:i w:val="false"/>
          <w:iCs w:val="false"/>
          <w:color w:val="000000"/>
          <w:sz w:val="20"/>
          <w:szCs w:val="20"/>
        </w:rPr>
        <w:t xml:space="preserve">These values confirm dual blockade of both PD-1 ligands at sub-nanomolar concentrations.</w:t>
      </w:r>
    </w:p>
    <w:p>
      <w:pPr>
        <w:pStyle w:val="Heading2"/>
        <w:spacing w:before="240" w:after="120"/>
      </w:pPr>
      <w:r>
        <w:rPr>
          <w:rFonts w:ascii="Arial" w:cs="Arial" w:eastAsia="Arial" w:hAnsi="Arial"/>
          <w:b/>
          <w:bCs/>
          <w:color w:val="2E6DA4"/>
          <w:sz w:val="24"/>
          <w:szCs w:val="24"/>
        </w:rPr>
        <w:t xml:space="preserve">5.3 Cell-Based Functional Activity</w:t>
      </w:r>
    </w:p>
    <w:p>
      <w:pPr>
        <w:spacing w:before="60" w:after="60"/>
        <w:jc w:val="left"/>
      </w:pPr>
      <w:r>
        <w:rPr>
          <w:rFonts w:ascii="Arial" w:cs="Arial" w:eastAsia="Arial" w:hAnsi="Arial"/>
          <w:b w:val="false"/>
          <w:bCs w:val="false"/>
          <w:i w:val="false"/>
          <w:iCs w:val="false"/>
          <w:color w:val="000000"/>
          <w:sz w:val="20"/>
          <w:szCs w:val="20"/>
        </w:rPr>
        <w:t xml:space="preserve">A Jurkat T cell NFAT-luciferase reporter assay co-cultured with CHO cells expressing PD-L1 (Promega PD-1/PD-L1 Blockade Bioassay Kit) was used to assess functional restoration of T cell activation. Cervimab dose-dependently restored NFAT-driven luciferase activity with an EC50 of 0.92 ± 0.14 nM and a maximum fold-induction of 5.8 ± 0.4 relative to no-antibody control.</w:t>
      </w:r>
    </w:p>
    <w:p>
      <w:pPr>
        <w:pStyle w:val="Heading2"/>
        <w:spacing w:before="240" w:after="120"/>
      </w:pPr>
      <w:r>
        <w:rPr>
          <w:rFonts w:ascii="Arial" w:cs="Arial" w:eastAsia="Arial" w:hAnsi="Arial"/>
          <w:b/>
          <w:bCs/>
          <w:color w:val="2E6DA4"/>
          <w:sz w:val="24"/>
          <w:szCs w:val="24"/>
        </w:rPr>
        <w:t xml:space="preserve">5.4 FcRn and FcγR Binding</w:t>
      </w:r>
    </w:p>
    <w:p>
      <w:pPr>
        <w:spacing w:before="60" w:after="60"/>
        <w:jc w:val="left"/>
      </w:pPr>
      <w:r>
        <w:rPr>
          <w:rFonts w:ascii="Arial" w:cs="Arial" w:eastAsia="Arial" w:hAnsi="Arial"/>
          <w:b w:val="false"/>
          <w:bCs w:val="false"/>
          <w:i w:val="false"/>
          <w:iCs w:val="false"/>
          <w:color w:val="000000"/>
          <w:sz w:val="20"/>
          <w:szCs w:val="20"/>
        </w:rPr>
        <w:t xml:space="preserve">FcRn binding at pH 6.0 (endosomal) was confirmed by SPR (KD = 0.42 ± 0.05 µM at pH 6.0; no binding at pH 7.4), consistent with expected IgG4 neonatal Fc receptor-mediated recycling behavior and predicting a normal IgG4 half-life in vivo (~21 days).</w:t>
      </w:r>
    </w:p>
    <w:p>
      <w:pPr>
        <w:spacing w:before="0" w:after="0"/>
      </w:pPr>
      <w:r>
        <w:rPr>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FcγR binding panel (FcγRI, FcγRIIa, FcγRIIb, FcγRIIIa-F158, FcγRIIIa-V158) was assessed by SPR at pH 7.4. Cervimab IgG4 demonstrates the expected low FcγR binding relative to IgG1, with detectable FcγRI binding only (KD ~32 nM), consistent with the reduced effector function profile of IgG4 subclass antibodies. Complement C1q binding by ELISA was below the assay limit of detection, confirming negligible ADCC/CDC activity.</w:t>
      </w:r>
    </w:p>
    <w:p>
      <w:pPr>
        <w:pStyle w:val="Heading2"/>
        <w:spacing w:before="240" w:after="120"/>
      </w:pPr>
      <w:r>
        <w:rPr>
          <w:rFonts w:ascii="Arial" w:cs="Arial" w:eastAsia="Arial" w:hAnsi="Arial"/>
          <w:b/>
          <w:bCs/>
          <w:color w:val="2E6DA4"/>
          <w:sz w:val="24"/>
          <w:szCs w:val="24"/>
        </w:rPr>
        <w:t xml:space="preserve">5.5 Cross-Reactivity Panel</w:t>
      </w:r>
    </w:p>
    <w:p>
      <w:pPr>
        <w:spacing w:before="60" w:after="60"/>
        <w:jc w:val="left"/>
      </w:pPr>
      <w:r>
        <w:rPr>
          <w:rFonts w:ascii="Arial" w:cs="Arial" w:eastAsia="Arial" w:hAnsi="Arial"/>
          <w:b w:val="false"/>
          <w:bCs w:val="false"/>
          <w:i w:val="false"/>
          <w:iCs w:val="false"/>
          <w:color w:val="000000"/>
          <w:sz w:val="20"/>
          <w:szCs w:val="20"/>
        </w:rPr>
        <w:t xml:space="preserve">Cervimab binding specificity was confirmed by ELISA against a panel of 32 human tissue antigens and 8 structurally related immune checkpoint receptors (LAG-3, TIM-3, CTLA-4, CD28, BTLA, VISTA, TIGIT, ICOS). No off-target binding above 10% of PD-1 signal was observed for any panel member, confirming high target specificity.</w:t>
      </w:r>
    </w:p>
    <w:p>
      <w:r>
        <w:br w:type="page"/>
      </w:r>
    </w:p>
    <w:p>
      <w:pPr>
        <w:pStyle w:val="Heading1"/>
        <w:spacing w:before="320" w:after="160"/>
      </w:pPr>
      <w:r>
        <w:rPr>
          <w:rFonts w:ascii="Arial" w:cs="Arial" w:eastAsia="Arial" w:hAnsi="Arial"/>
          <w:b/>
          <w:bCs/>
          <w:color w:val="1F3864"/>
          <w:sz w:val="28"/>
          <w:szCs w:val="28"/>
        </w:rPr>
        <w:t xml:space="preserve">6. PURITY AND IMPURITY CHARACTERIZATION</w:t>
      </w:r>
    </w:p>
    <w:p>
      <w:pPr>
        <w:pStyle w:val="Heading2"/>
        <w:spacing w:before="240" w:after="120"/>
      </w:pPr>
      <w:r>
        <w:rPr>
          <w:rFonts w:ascii="Arial" w:cs="Arial" w:eastAsia="Arial" w:hAnsi="Arial"/>
          <w:b/>
          <w:bCs/>
          <w:color w:val="2E6DA4"/>
          <w:sz w:val="24"/>
          <w:szCs w:val="24"/>
        </w:rPr>
        <w:t xml:space="preserve">6.1 Product-Related Impurities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2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Acceptance Criteria</w:t>
            </w:r>
          </w:p>
        </w:tc>
        <w:tc>
          <w:tcPr>
            <w:tcW w:type="dxa" w:w="19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Monomer (SEC-HPLC)</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SEC-HPLC (Superdex 200)</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97.0%</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98.5 ± 0.2%</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HMW Aggregates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SEC-HPLC</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2.0%</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0.8 ± 0.1%</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LMW Fragments</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SEC-HPLC</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2.0%</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0.7 ± 0.1%</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Intact IgG (non-reduced CE-SDS)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CE-SDS non-reduced</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95.0%</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97.3 ± 0.5%</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HC purity (reduced CE-SDS)</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CE-SDS reduced</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98.8 ± 0.4%</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LC purity (reduced CE-SDS)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CE-SDS reduced</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99.1 ± 0.3%</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Charge heterogeneity — Main Peak</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icIEF</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75.0%</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81.4 ± 1.8%</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Afucosylated glycans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N-glycan HILIC-UPLC</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Report</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7.8 ± 0.8%</w:t>
            </w:r>
          </w:p>
        </w:tc>
      </w:tr>
    </w:tbl>
    <w:p>
      <w:pPr>
        <w:pStyle w:val="Heading2"/>
        <w:spacing w:before="240" w:after="120"/>
      </w:pPr>
      <w:r>
        <w:rPr>
          <w:rFonts w:ascii="Arial" w:cs="Arial" w:eastAsia="Arial" w:hAnsi="Arial"/>
          <w:b/>
          <w:bCs/>
          <w:color w:val="2E6DA4"/>
          <w:sz w:val="24"/>
          <w:szCs w:val="24"/>
        </w:rPr>
        <w:t xml:space="preserve">6.2 Process-Related Impurities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26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40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Acceptance Criteria</w:t>
            </w:r>
          </w:p>
        </w:tc>
        <w:tc>
          <w:tcPr>
            <w:tcW w:type="dxa" w:w="196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Host Cell Proteins (HCP)</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CHO-specific ELISA (Cygnus F550)</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100 ppm</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&lt; 25 ppm (LOQ)</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Host Cell DNA (hcDNA)</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qPCR (Cygnus TM Technologies)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10 ng/mg</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&lt; 0.5 ng/mg</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Residual Protein A (leached)</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Protein A ELISA (repligen)</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5 ng/mg</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&lt; 1 ng/mg</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Residual Benzonase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Anti-Benzonase ELISA</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1 ng/mg</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&lt; 0.1 ng/mg</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Endotoxin (LAL)</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Kinetic Turbidimetric LAL (Charles River)</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1.0 EU/mg</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&lt; 0.05 EU/mg</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Bioburden</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USP &lt;61&gt; Microbial Enumeration</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Meets USP &lt;1&gt; criteria</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&lt; 1 CFU/10 mL</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Sterility (drug substance)</w:t>
            </w:r>
          </w:p>
        </w:tc>
        <w:tc>
          <w:tcPr>
            <w:tcW w:type="dxa" w:w="26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USP &lt;71&gt; Membrane Filtration</w:t>
            </w:r>
          </w:p>
        </w:tc>
        <w:tc>
          <w:tcPr>
            <w:tcW w:type="dxa" w:w="24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Sterile</w:t>
            </w:r>
          </w:p>
        </w:tc>
        <w:tc>
          <w:tcPr>
            <w:tcW w:type="dxa" w:w="19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Pass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Residual Triton X-100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RP-HPLC</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 50 ppm</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1A5C1A"/>
                <w:sz w:val="18"/>
                <w:szCs w:val="18"/>
              </w:rPr>
              <w:t xml:space="preserve">&lt; 5 ppm</w:t>
            </w:r>
          </w:p>
        </w:tc>
      </w:tr>
    </w:tbl>
    <w:p>
      <w:r>
        <w:br w:type="page"/>
      </w:r>
    </w:p>
    <w:p>
      <w:pPr>
        <w:pStyle w:val="Heading1"/>
        <w:spacing w:before="320" w:after="160"/>
      </w:pPr>
      <w:r>
        <w:rPr>
          <w:rFonts w:ascii="Arial" w:cs="Arial" w:eastAsia="Arial" w:hAnsi="Arial"/>
          <w:b/>
          <w:bCs/>
          <w:color w:val="1F3864"/>
          <w:sz w:val="28"/>
          <w:szCs w:val="28"/>
        </w:rPr>
        <w:t xml:space="preserve">7. REFERENCE STANDARDS</w:t>
      </w:r>
    </w:p>
    <w:p>
      <w:pPr>
        <w:spacing w:before="60" w:after="60"/>
        <w:jc w:val="left"/>
      </w:pPr>
      <w:r>
        <w:rPr>
          <w:rFonts w:ascii="Arial" w:cs="Arial" w:eastAsia="Arial" w:hAnsi="Arial"/>
          <w:b w:val="false"/>
          <w:bCs w:val="false"/>
          <w:i w:val="false"/>
          <w:iCs w:val="false"/>
          <w:color w:val="000000"/>
          <w:sz w:val="20"/>
          <w:szCs w:val="20"/>
        </w:rPr>
        <w:t xml:space="preserve">A primary reference standard (Cervimab PRS-001) was established from a single representative manufacturing lot purified to high homogeneity. Characterization of PRS-001 was performed using the full analytical panel described in this report. Working reference standards (WRS) are qualified relative to PRS-001 by a defined qualification protocol encompassing potency, purity, identity, and physicochemical attributes.</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Primary Reference Standard</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Cervimab PRS-001 — Lot [DS-REF-001]</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Concentration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5.0 mg/mL in formulation buffer</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Storage Condition</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-80°C ± 10°C, single-use aliquots (0.5 mL)</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Assigned Potency</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1.00 (relative, by NFAT reporter assay)</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Characterization Date</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January 2026</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Established Qualification Panel</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Identity (peptide map), Purity (SEC, CE-SDS, icIEF), Potency (NFAT), Binding (SPR), Glycan profile</w:t>
            </w:r>
          </w:p>
        </w:tc>
      </w:tr>
      <w:tr>
        <w:tc>
          <w:tcPr>
            <w:tcW w:type="dxa" w:w="320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bCs/>
                <w:i w:val="false"/>
                <w:iCs w:val="false"/>
                <w:color w:val="000000"/>
                <w:sz w:val="18"/>
                <w:szCs w:val="18"/>
              </w:rPr>
              <w:t xml:space="preserve">Shelf Life Established</w:t>
            </w:r>
          </w:p>
        </w:tc>
        <w:tc>
          <w:tcPr>
            <w:tcW w:type="dxa" w:w="616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36 months at -80°C (stability ongoing)</w:t>
            </w:r>
          </w:p>
        </w:tc>
      </w:tr>
    </w:tbl>
    <w:p>
      <w:pPr>
        <w:pStyle w:val="Heading1"/>
        <w:spacing w:before="320" w:after="160"/>
      </w:pPr>
      <w:r>
        <w:rPr>
          <w:rFonts w:ascii="Arial" w:cs="Arial" w:eastAsia="Arial" w:hAnsi="Arial"/>
          <w:b/>
          <w:bCs/>
          <w:color w:val="1F3864"/>
          <w:sz w:val="28"/>
          <w:szCs w:val="28"/>
        </w:rPr>
        <w:t xml:space="preserve">8. CONCLUSIONS</w:t>
      </w:r>
    </w:p>
    <w:p>
      <w:pPr>
        <w:spacing w:before="60" w:after="60"/>
        <w:jc w:val="left"/>
      </w:pPr>
      <w:r>
        <w:rPr>
          <w:rFonts w:ascii="Arial" w:cs="Arial" w:eastAsia="Arial" w:hAnsi="Arial"/>
          <w:b w:val="false"/>
          <w:bCs w:val="false"/>
          <w:i w:val="false"/>
          <w:iCs w:val="false"/>
          <w:color w:val="000000"/>
          <w:sz w:val="20"/>
          <w:szCs w:val="20"/>
        </w:rPr>
        <w:t xml:space="preserve">Comprehensive physicochemical, biochemical, and biological characterization of Cervimab drug substance confirms that the molecule is structurally well-defined, highly pure, and functionally active as an anti-PD-1 IgG4 monoclonal antibody. The following key conclusions are drawn from characterization studies conducted across three representative GMP drug substance lots:</w:t>
      </w:r>
    </w:p>
    <w:p>
      <w:pPr>
        <w:spacing w:before="0" w:after="0"/>
      </w:pPr>
      <w:r>
        <w:rPr>
          <w:sz w:val="20"/>
          <w:szCs w:val="20"/>
        </w:rPr>
        <w:t xml:space="preserve"/>
      </w:r>
    </w:p>
    <w:p>
      <w:pPr>
        <w:pStyle w:val="ListParagraph"/>
        <w:numPr>
          <w:ilvl w:val="0"/>
          <w:numId w:val="2"/>
        </w:numPr>
        <w:spacing w:before="40" w:after="40"/>
      </w:pPr>
      <w:r>
        <w:rPr>
          <w:rFonts w:ascii="Arial" w:cs="Arial" w:eastAsia="Arial" w:hAnsi="Arial"/>
          <w:b w:val="false"/>
          <w:bCs w:val="false"/>
          <w:sz w:val="20"/>
          <w:szCs w:val="20"/>
        </w:rPr>
        <w:t xml:space="preserve">Primary structure was confirmed with ≥99.5% sequence coverage by peptide mapping LC-MS/MS; all 12 disulfide bonds were correctly formed and confirmed</w:t>
      </w:r>
    </w:p>
    <w:p>
      <w:pPr>
        <w:pStyle w:val="ListParagraph"/>
        <w:numPr>
          <w:ilvl w:val="0"/>
          <w:numId w:val="2"/>
        </w:numPr>
        <w:spacing w:before="40" w:after="40"/>
      </w:pPr>
      <w:r>
        <w:rPr>
          <w:rFonts w:ascii="Arial" w:cs="Arial" w:eastAsia="Arial" w:hAnsi="Arial"/>
          <w:b w:val="false"/>
          <w:bCs w:val="false"/>
          <w:sz w:val="20"/>
          <w:szCs w:val="20"/>
        </w:rPr>
        <w:t xml:space="preserve">Cervimab is predominantly monomeric (≥98.5%) with negligible aggregation and fragmentation</w:t>
      </w:r>
    </w:p>
    <w:p>
      <w:pPr>
        <w:pStyle w:val="ListParagraph"/>
        <w:numPr>
          <w:ilvl w:val="0"/>
          <w:numId w:val="2"/>
        </w:numPr>
        <w:spacing w:before="40" w:after="40"/>
      </w:pPr>
      <w:r>
        <w:rPr>
          <w:rFonts w:ascii="Arial" w:cs="Arial" w:eastAsia="Arial" w:hAnsi="Arial"/>
          <w:b w:val="false"/>
          <w:bCs w:val="false"/>
          <w:sz w:val="20"/>
          <w:szCs w:val="20"/>
        </w:rPr>
        <w:t xml:space="preserve">Glycosylation profile is consistent and reproducible across manufactured lots, with a typical IgG4 CHO-derived complex biantennary glycan distribution</w:t>
      </w:r>
    </w:p>
    <w:p>
      <w:pPr>
        <w:pStyle w:val="ListParagraph"/>
        <w:numPr>
          <w:ilvl w:val="0"/>
          <w:numId w:val="2"/>
        </w:numPr>
        <w:spacing w:before="40" w:after="40"/>
      </w:pPr>
      <w:r>
        <w:rPr>
          <w:rFonts w:ascii="Arial" w:cs="Arial" w:eastAsia="Arial" w:hAnsi="Arial"/>
          <w:b w:val="false"/>
          <w:bCs w:val="false"/>
          <w:sz w:val="20"/>
          <w:szCs w:val="20"/>
        </w:rPr>
        <w:t xml:space="preserve">Post-translational modifications (deamidation, oxidation, C-terminal Lys clipping, N-terminal pyroglutamate) are within acceptable ranges and consistent with expected IgG4 modifications</w:t>
      </w:r>
    </w:p>
    <w:p>
      <w:pPr>
        <w:pStyle w:val="ListParagraph"/>
        <w:numPr>
          <w:ilvl w:val="0"/>
          <w:numId w:val="2"/>
        </w:numPr>
        <w:spacing w:before="40" w:after="40"/>
      </w:pPr>
      <w:r>
        <w:rPr>
          <w:rFonts w:ascii="Arial" w:cs="Arial" w:eastAsia="Arial" w:hAnsi="Arial"/>
          <w:b w:val="false"/>
          <w:bCs w:val="false"/>
          <w:sz w:val="20"/>
          <w:szCs w:val="20"/>
        </w:rPr>
        <w:t xml:space="preserve">Cervimab binds human PD-1 with high affinity (KD ≈ 0.33 nM) and blocks both PD-L1 and PD-L2 ligand interactions at sub-nanomolar concentrations</w:t>
      </w:r>
    </w:p>
    <w:p>
      <w:pPr>
        <w:pStyle w:val="ListParagraph"/>
        <w:numPr>
          <w:ilvl w:val="0"/>
          <w:numId w:val="2"/>
        </w:numPr>
        <w:spacing w:before="40" w:after="40"/>
      </w:pPr>
      <w:r>
        <w:rPr>
          <w:rFonts w:ascii="Arial" w:cs="Arial" w:eastAsia="Arial" w:hAnsi="Arial"/>
          <w:b w:val="false"/>
          <w:bCs w:val="false"/>
          <w:sz w:val="20"/>
          <w:szCs w:val="20"/>
        </w:rPr>
        <w:t xml:space="preserve">Cell-based functional assay confirms potent restoration of T cell activation via PD-1/PD-L1 checkpoint blockade (EC50 ≈ 0.92 nM)</w:t>
      </w:r>
    </w:p>
    <w:p>
      <w:pPr>
        <w:pStyle w:val="ListParagraph"/>
        <w:numPr>
          <w:ilvl w:val="0"/>
          <w:numId w:val="2"/>
        </w:numPr>
        <w:spacing w:before="40" w:after="40"/>
      </w:pPr>
      <w:r>
        <w:rPr>
          <w:rFonts w:ascii="Arial" w:cs="Arial" w:eastAsia="Arial" w:hAnsi="Arial"/>
          <w:b w:val="false"/>
          <w:bCs w:val="false"/>
          <w:sz w:val="20"/>
          <w:szCs w:val="20"/>
        </w:rPr>
        <w:t xml:space="preserve">Process-related impurities (HCP, hcDNA, Protein A, Benzonase, endotoxin) are well below established safety-based limits</w:t>
      </w:r>
    </w:p>
    <w:p>
      <w:pPr>
        <w:pStyle w:val="ListParagraph"/>
        <w:numPr>
          <w:ilvl w:val="0"/>
          <w:numId w:val="2"/>
        </w:numPr>
        <w:spacing w:before="40" w:after="40"/>
      </w:pPr>
      <w:r>
        <w:rPr>
          <w:rFonts w:ascii="Arial" w:cs="Arial" w:eastAsia="Arial" w:hAnsi="Arial"/>
          <w:b w:val="false"/>
          <w:bCs w:val="false"/>
          <w:sz w:val="20"/>
          <w:szCs w:val="20"/>
        </w:rPr>
        <w:t xml:space="preserve">Lot-to-lot consistency across three characterized lots supports robust and reproducible manufacturing</w:t>
      </w:r>
    </w:p>
    <w:p>
      <w:pPr>
        <w:spacing w:before="0" w:after="0"/>
      </w:pPr>
      <w:r>
        <w:rPr>
          <w:sz w:val="20"/>
          <w:szCs w:val="20"/>
        </w:rPr>
        <w:t xml:space="preserve"/>
      </w:r>
    </w:p>
    <w:p>
      <w:pPr>
        <w:spacing w:before="60" w:after="60"/>
        <w:jc w:val="left"/>
      </w:pPr>
      <w:r>
        <w:rPr>
          <w:rFonts w:ascii="Arial" w:cs="Arial" w:eastAsia="Arial" w:hAnsi="Arial"/>
          <w:b w:val="false"/>
          <w:bCs w:val="false"/>
          <w:i w:val="false"/>
          <w:iCs w:val="false"/>
          <w:color w:val="000000"/>
          <w:sz w:val="20"/>
          <w:szCs w:val="20"/>
        </w:rPr>
        <w:t xml:space="preserve">These characterization data provide the foundation for specification-setting activities (Module 3.2.S.4) and support the clinical safety and efficacy profile of Cervimab as described in the IND submission.</w:t>
      </w:r>
    </w:p>
    <w:p>
      <w:pPr>
        <w:pStyle w:val="Heading1"/>
        <w:spacing w:before="320" w:after="160"/>
      </w:pPr>
      <w:r>
        <w:rPr>
          <w:rFonts w:ascii="Arial" w:cs="Arial" w:eastAsia="Arial" w:hAnsi="Arial"/>
          <w:b/>
          <w:bCs/>
          <w:color w:val="1F3864"/>
          <w:sz w:val="28"/>
          <w:szCs w:val="28"/>
        </w:rPr>
        <w:t xml:space="preserve">9. REFERENCES</w:t>
      </w:r>
    </w:p>
    <w:p>
      <w:pPr>
        <w:pStyle w:val="ListParagraph"/>
        <w:numPr>
          <w:ilvl w:val="0"/>
          <w:numId w:val="2"/>
        </w:numPr>
        <w:spacing w:before="40" w:after="40"/>
      </w:pPr>
      <w:r>
        <w:rPr>
          <w:rFonts w:ascii="Arial" w:cs="Arial" w:eastAsia="Arial" w:hAnsi="Arial"/>
          <w:b w:val="false"/>
          <w:bCs w:val="false"/>
          <w:sz w:val="20"/>
          <w:szCs w:val="20"/>
        </w:rPr>
        <w:t xml:space="preserve">ICH Q6B: Specifications: Test Procedures and Acceptance Criteria for Biotechnological/Biological Products (1999)</w:t>
      </w:r>
    </w:p>
    <w:p>
      <w:pPr>
        <w:pStyle w:val="ListParagraph"/>
        <w:numPr>
          <w:ilvl w:val="0"/>
          <w:numId w:val="2"/>
        </w:numPr>
        <w:spacing w:before="40" w:after="40"/>
      </w:pPr>
      <w:r>
        <w:rPr>
          <w:rFonts w:ascii="Arial" w:cs="Arial" w:eastAsia="Arial" w:hAnsi="Arial"/>
          <w:b w:val="false"/>
          <w:bCs w:val="false"/>
          <w:sz w:val="20"/>
          <w:szCs w:val="20"/>
        </w:rPr>
        <w:t xml:space="preserve">ICH Q5E: Comparability of Biotechnological/Biological Products Subject to Changes in Their Manufacturing Process (2005)</w:t>
      </w:r>
    </w:p>
    <w:p>
      <w:pPr>
        <w:pStyle w:val="ListParagraph"/>
        <w:numPr>
          <w:ilvl w:val="0"/>
          <w:numId w:val="2"/>
        </w:numPr>
        <w:spacing w:before="40" w:after="40"/>
      </w:pPr>
      <w:r>
        <w:rPr>
          <w:rFonts w:ascii="Arial" w:cs="Arial" w:eastAsia="Arial" w:hAnsi="Arial"/>
          <w:b w:val="false"/>
          <w:bCs w:val="false"/>
          <w:sz w:val="20"/>
          <w:szCs w:val="20"/>
        </w:rPr>
        <w:t xml:space="preserve">ICH Q2(R1): Validation of Analytical Procedures: Text and Methodology (2005)</w:t>
      </w:r>
    </w:p>
    <w:p>
      <w:pPr>
        <w:pStyle w:val="ListParagraph"/>
        <w:numPr>
          <w:ilvl w:val="0"/>
          <w:numId w:val="2"/>
        </w:numPr>
        <w:spacing w:before="40" w:after="40"/>
      </w:pPr>
      <w:r>
        <w:rPr>
          <w:rFonts w:ascii="Arial" w:cs="Arial" w:eastAsia="Arial" w:hAnsi="Arial"/>
          <w:b w:val="false"/>
          <w:bCs w:val="false"/>
          <w:sz w:val="20"/>
          <w:szCs w:val="20"/>
        </w:rPr>
        <w:t xml:space="preserve">ICH Q3A(R2): Impurities in New Drug Substances (2006)</w:t>
      </w:r>
    </w:p>
    <w:p>
      <w:pPr>
        <w:pStyle w:val="ListParagraph"/>
        <w:numPr>
          <w:ilvl w:val="0"/>
          <w:numId w:val="2"/>
        </w:numPr>
        <w:spacing w:before="40" w:after="40"/>
      </w:pPr>
      <w:r>
        <w:rPr>
          <w:rFonts w:ascii="Arial" w:cs="Arial" w:eastAsia="Arial" w:hAnsi="Arial"/>
          <w:b w:val="false"/>
          <w:bCs w:val="false"/>
          <w:sz w:val="20"/>
          <w:szCs w:val="20"/>
        </w:rPr>
        <w:t xml:space="preserve">FDA Guidance for Industry: Analytical Procedures and Methods Validation for Drugs and Biologics (2015)</w:t>
      </w:r>
    </w:p>
    <w:p>
      <w:pPr>
        <w:pStyle w:val="ListParagraph"/>
        <w:numPr>
          <w:ilvl w:val="0"/>
          <w:numId w:val="2"/>
        </w:numPr>
        <w:spacing w:before="40" w:after="40"/>
      </w:pPr>
      <w:r>
        <w:rPr>
          <w:rFonts w:ascii="Arial" w:cs="Arial" w:eastAsia="Arial" w:hAnsi="Arial"/>
          <w:b w:val="false"/>
          <w:bCs w:val="false"/>
          <w:sz w:val="20"/>
          <w:szCs w:val="20"/>
        </w:rPr>
        <w:t xml:space="preserve">FDA Guidance for Industry: Q8(R2) Pharmaceutical Development (2009)</w:t>
      </w:r>
    </w:p>
    <w:p>
      <w:pPr>
        <w:pStyle w:val="ListParagraph"/>
        <w:numPr>
          <w:ilvl w:val="0"/>
          <w:numId w:val="2"/>
        </w:numPr>
        <w:spacing w:before="40" w:after="40"/>
      </w:pPr>
      <w:r>
        <w:rPr>
          <w:rFonts w:ascii="Arial" w:cs="Arial" w:eastAsia="Arial" w:hAnsi="Arial"/>
          <w:b w:val="false"/>
          <w:bCs w:val="false"/>
          <w:sz w:val="20"/>
          <w:szCs w:val="20"/>
        </w:rPr>
        <w:t xml:space="preserve">Nieba L, et al. BIACORE analysis of histidine-tagged proteins using a chelating NTA sensor chip. Anal Biochem. 1997;252:217–228.</w:t>
      </w:r>
    </w:p>
    <w:p>
      <w:pPr>
        <w:pStyle w:val="ListParagraph"/>
        <w:numPr>
          <w:ilvl w:val="0"/>
          <w:numId w:val="2"/>
        </w:numPr>
        <w:spacing w:before="40" w:after="40"/>
      </w:pPr>
      <w:r>
        <w:rPr>
          <w:rFonts w:ascii="Arial" w:cs="Arial" w:eastAsia="Arial" w:hAnsi="Arial"/>
          <w:b w:val="false"/>
          <w:bCs w:val="false"/>
          <w:sz w:val="20"/>
          <w:szCs w:val="20"/>
        </w:rPr>
        <w:t xml:space="preserve">Liu H, May K. Disulfide bond structures of IgG molecules. mAbs. 2012;4:17–23.</w:t>
      </w:r>
    </w:p>
    <w:p>
      <w:pPr>
        <w:pStyle w:val="ListParagraph"/>
        <w:numPr>
          <w:ilvl w:val="0"/>
          <w:numId w:val="2"/>
        </w:numPr>
        <w:spacing w:before="40" w:after="40"/>
      </w:pPr>
      <w:r>
        <w:rPr>
          <w:rFonts w:ascii="Arial" w:cs="Arial" w:eastAsia="Arial" w:hAnsi="Arial"/>
          <w:b w:val="false"/>
          <w:bCs w:val="false"/>
          <w:sz w:val="20"/>
          <w:szCs w:val="20"/>
        </w:rPr>
        <w:t xml:space="preserve">Raju TS. Terminal sugars of Fc glycans influence antibody effector functions of IgGs. Curr Opin Immunol. 2008;20:471–478.</w:t>
      </w:r>
    </w:p>
    <w:p>
      <w:pPr>
        <w:spacing w:before="0" w:after="0"/>
      </w:pPr>
      <w:r>
        <w:rPr>
          <w:sz w:val="20"/>
          <w:szCs w:val="20"/>
        </w:rPr>
        <w:t xml:space="preserve"/>
      </w:r>
    </w:p>
    <w:p>
      <w:pPr>
        <w:pBdr>
          <w:bottom w:val="single" w:color="2E6DA4" w:sz="6"/>
        </w:pBdr>
        <w:spacing w:before="120" w:after="120"/>
      </w:pPr>
    </w:p>
    <w:p>
      <w:pPr>
        <w:spacing w:before="0" w:after="0"/>
      </w:pPr>
      <w:r>
        <w:rPr>
          <w:sz w:val="20"/>
          <w:szCs w:val="20"/>
        </w:rPr>
        <w:t xml:space="preserve"/>
      </w:r>
    </w:p>
    <w:p>
      <w:pPr>
        <w:spacing w:before="120" w:after="60"/>
        <w:jc w:val="center"/>
      </w:pPr>
      <w:r>
        <w:rPr>
          <w:rFonts w:ascii="Arial" w:cs="Arial" w:eastAsia="Arial" w:hAnsi="Arial"/>
          <w:b/>
          <w:bCs/>
          <w:color w:val="1F3864"/>
          <w:sz w:val="22"/>
          <w:szCs w:val="22"/>
        </w:rPr>
        <w:t xml:space="preserve">SIGNATURE PAGE</w:t>
      </w:r>
    </w:p>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Prepared By</w:t>
            </w:r>
          </w:p>
        </w:tc>
        <w:tc>
          <w:tcPr>
            <w:tcW w:type="dxa" w:w="4680"/>
            <w:tcBorders>
              <w:top w:val="single" w:color="2E6DA4" w:sz="6"/>
              <w:left w:val="single" w:color="2E6DA4" w:sz="6"/>
              <w:bottom w:val="single" w:color="2E6DA4" w:sz="6"/>
              <w:right w:val="single" w:color="2E6DA4" w:sz="6"/>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Reviewed By</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Name: ______________________________
Title: Head, Analytical Sciences
Date: _______________
Signature: ______________________________</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jc w:val="left"/>
            </w:pPr>
            <w:r>
              <w:rPr>
                <w:rFonts w:ascii="Arial" w:cs="Arial" w:eastAsia="Arial" w:hAnsi="Arial"/>
                <w:b w:val="false"/>
                <w:bCs w:val="false"/>
                <w:i w:val="false"/>
                <w:iCs w:val="false"/>
                <w:color w:val="000000"/>
                <w:sz w:val="18"/>
                <w:szCs w:val="18"/>
              </w:rPr>
              <w:t xml:space="preserve">Name: ______________________________
Title: Head, CMC Development
Date: _______________
Signature: ______________________________</w:t>
            </w:r>
          </w:p>
        </w:tc>
      </w:tr>
      <w:tr>
        <w:tc>
          <w:tcPr>
            <w:tcW w:type="dxa" w:w="9360"/>
            <w:gridSpan w:val="2"/>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pPr>
              <w:jc w:val="center"/>
            </w:pPr>
            <w:r>
              <w:rPr>
                <w:rFonts w:ascii="Arial" w:cs="Arial" w:eastAsia="Arial" w:hAnsi="Arial"/>
                <w:b/>
                <w:bCs/>
                <w:sz w:val="18"/>
                <w:szCs w:val="18"/>
              </w:rPr>
              <w:t xml:space="preserve">Approved By: VP, Pharmaceutical Sciences  |  Name: ______________________________  |  Date: _______________</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tabs>
        <w:tab w:val="center" w:pos="4680"/>
        <w:tab w:val="right" w:pos="9360"/>
      </w:tabs>
      <w:spacing w:before="80"/>
    </w:pPr>
    <w:r>
      <w:rPr>
        <w:rFonts w:ascii="Arial" w:cs="Arial" w:eastAsia="Arial" w:hAnsi="Arial"/>
        <w:color w:val="888888"/>
        <w:sz w:val="16"/>
        <w:szCs w:val="16"/>
      </w:rPr>
      <w:t xml:space="preserve">Proprietary &amp; Confidential — For Regulatory Review Only</w:t>
    </w:r>
    <w:r>
      <w:rPr>
        <w:rFonts w:ascii="Arial" w:cs="Arial" w:eastAsia="Arial" w:hAnsi="Arial"/>
        <w:sz w:val="16"/>
        <w:szCs w:val="16"/>
      </w:rPr>
      <w:t xml:space="preserve">	</w:t>
    </w:r>
    <w:r>
      <w:rPr>
        <w:rFonts w:ascii="Arial" w:cs="Arial" w:eastAsia="Arial" w:hAnsi="Arial"/>
        <w:color w:val="888888"/>
        <w:sz w:val="16"/>
        <w:szCs w:val="16"/>
      </w:rPr>
      <w:t xml:space="preserve">Version 1.0  |  March 2026</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pBdr>
      <w:spacing w:before="0" w:after="120"/>
    </w:pPr>
    <w:r>
      <w:rPr>
        <w:rFonts w:ascii="Arial" w:cs="Arial" w:eastAsia="Arial" w:hAnsi="Arial"/>
        <w:color w:val="666666"/>
        <w:sz w:val="16"/>
        <w:szCs w:val="16"/>
      </w:rPr>
      <w:t xml:space="preserve">CERVIMAB (anti-PD-1 mAb)  |  Drug Substance Characterization Report  |  CONFIDENTIAL</w:t>
    </w:r>
    <w:r>
      <w:rPr>
        <w:rFonts w:ascii="Arial" w:cs="Arial" w:eastAsia="Arial" w:hAnsi="Arial"/>
        <w:b/>
        <w:bCs/>
        <w:color w:val="2E6DA4"/>
        <w:sz w:val="16"/>
        <w:szCs w:val="16"/>
      </w:rPr>
      <w:t xml:space="preserve">  CTD Module 3.2.S.3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4"/>
      <w:szCs w:val="24"/>
    </w:rPr>
  </w:style>
  <w:style w:type="paragraph" w:styleId="Heading3">
    <w:name w:val="Heading 3"/>
    <w:basedOn w:val="Normal"/>
    <w:next w:val="Normal"/>
    <w:qFormat/>
    <w:pPr>
      <w:spacing w:before="18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2026-03-16T12:41:41.363Z</dcterms:created>
  <dcterms:modified xsi:type="dcterms:W3CDTF">2026-03-16T12:41:41.364Z</dcterms:modified>
</cp:coreProperties>
</file>

<file path=docProps/custom.xml><?xml version="1.0" encoding="utf-8"?>
<Properties xmlns="http://schemas.openxmlformats.org/officeDocument/2006/custom-properties" xmlns:vt="http://schemas.openxmlformats.org/officeDocument/2006/docPropsVTypes"/>
</file>