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200"/>
        <w:jc w:val="center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MERIDIAN ONCOLOGY SCIENCES, INC.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Discovery &amp; Preclinical Research Division</w:t>
      </w:r>
    </w:p>
    <w:p>
      <w:pPr>
        <w:spacing w:before="100" w:after="100"/>
      </w:pPr>
    </w:p>
    <w:p>
      <w:pPr>
        <w:pBdr>
          <w:top w:val="single" w:color="1A3A5C" w:sz="8" w:space="8"/>
          <w:bottom w:val="single" w:color="1A3A5C" w:sz="8" w:space="8"/>
        </w:pBdr>
        <w:spacing w:before="400" w:after="200"/>
        <w:jc w:val="center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Target Validation Report</w:t>
      </w:r>
    </w:p>
    <w:p>
      <w:pPr>
        <w:spacing w:before="120" w:after="400"/>
        <w:jc w:val="center"/>
      </w:pPr>
      <w:r>
        <w:rPr>
          <w:rFonts w:ascii="Arial" w:cs="Arial" w:eastAsia="Arial" w:hAnsi="Arial"/>
          <w:i/>
          <w:iCs/>
          <w:color w:val="444444"/>
          <w:sz w:val="24"/>
          <w:szCs w:val="24"/>
        </w:rPr>
        <w:t xml:space="preserve">PD-1 (CD279) as Therapeutic Target in dMMR/MSI-H Metastatic Colorectal Cancer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Document Number: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MOS-TVR-2021-001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Version: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v2.1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Date: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2021-09-15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Program: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Cervimab (MOS-PD1-047) | Anti-PD-1 mAb | IND 135-892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Indication: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dMMR/MSI-H Metastatic Colorectal Cancer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Classification: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CONFIDENTIAL — Pre-IND Research</w:t>
            </w:r>
          </w:p>
        </w:tc>
      </w:tr>
    </w:tbl>
    <w:p>
      <w:pPr>
        <w:spacing w:before="100" w:after="100"/>
      </w:pPr>
    </w:p>
    <w:p>
      <w:pPr>
        <w:spacing w:before="60" w:after="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This document contains confidential and proprietary information of Meridian Oncology Sciences, Inc. Prepared in accordance with 21 CFR 312.23(a)(8), ICH S9, and applicable FDA guidance documents.</w:t>
      </w:r>
    </w:p>
    <w:p>
      <w:r>
        <w:br w:type="page"/>
      </w:r>
    </w:p>
    <w:p>
      <w:pPr>
        <w:pStyle w:val="Heading1"/>
        <w:pBdr>
          <w:bottom w:val="single" w:color="2E6DA4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1. Executive Summary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This report documents the scientific validation of Programmed Cell Death Protein 1 (PD-1, CD279) as the primary therapeutic target for Cervimab (MOS-PD1-047) in patients with mismatch repair-deficient (dMMR) and microsatellite instability-high (MSI-H) metastatic colorectal cancer (mCRC). Validation encompasses target expression analysis, functional characterization, genetic validation in patient-derived specimens, and assessment of biological plausibility.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Key findings establish PD-1 as a compelling and well-validated target: dMMR/MSI-H CRC tumors demonstrate markedly elevated PD-1 expression on tumor-infiltrating lymphocytes (TILs), with functional suppression of anti-tumor immunity reversible through PD-1 blockade in ex vivo and in vivo models.</w:t>
      </w:r>
    </w:p>
    <w:p>
      <w:pPr>
        <w:spacing w:before="100" w:after="100"/>
      </w:pPr>
    </w:p>
    <w:p>
      <w:pPr>
        <w:pStyle w:val="Heading1"/>
        <w:pBdr>
          <w:bottom w:val="single" w:color="2E6DA4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2. Background and Scientific Rationale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2.1 Tumor Immunology of dMMR/MSI-H Colorectal Cancer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Colorectal cancer arising from mismatch repair deficiency generates an exceptionally high somatic mutation burden (median TMB: 47 mut/Mb; range 18–210 in this analysis) compared to proficient MMR tumors (median 5 mut/Mb). The resulting frameshift insertions and deletions produce neoantigens recognized by the adaptive immune system, driving robust CD8+ T-cell infiltration into the tumor microenvironment (TME).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However, this anti-tumor immune response is counteracted by upregulation of immune checkpoint pathways—principally the PD-1/PD-L1 axis—which suppress T-cell effector function and promote immune exhaustion. This creates a state of 'immunological dormancy' that can be reversed by PD-1 checkpoint blockade.</w:t>
      </w:r>
    </w:p>
    <w:p>
      <w:pPr>
        <w:spacing w:before="100" w:after="10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2.2 PD-1 Biology and Mechanism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PD-1 (gene: PDCD1; protein UniProt Q15116) is a 288-amino acid type I transmembrane receptor expressed on activated T cells, B cells, and NK cells. Its extracellular immunoglobulin variable (IgV) domain (residues 21–167) mediates interactions with two ligands: PD-L1 (CD274) and PD-L2 (CD273). Ligand binding recruits SHP-1 and SHP-2 phosphatases to the intracellular immunoreceptor tyrosine-based inhibitory motif (ITIM) and switch motif (ITSM), dephosphorylating key signaling nodes in the TCR activation cascade (ZAP70, PI3K-Akt).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In the context of dMMR tumors, chronic antigen stimulation drives T-cell exhaustion characterized by sustained PD-1 upregulation, reduced effector cytokine production, and proliferative impairment. PD-1 blockade reverses this exhausted phenotype, restoring cytotoxic capacity.</w:t>
      </w:r>
    </w:p>
    <w:p>
      <w:pPr>
        <w:spacing w:before="100" w:after="100"/>
      </w:pPr>
    </w:p>
    <w:p>
      <w:pPr>
        <w:pStyle w:val="Heading1"/>
        <w:pBdr>
          <w:bottom w:val="single" w:color="2E6DA4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3. Target Expression Analysis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3.1 Patient Specimen Cohort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PD-1 expression was assessed in a cohort of 48 colorectal cancer patient specimens obtained under IRB Protocol MOS-IRB-2020-012 with informed consent. Specimens were classified by MMR status using standard IHC (MLH1/MSH2/MSH6/PMS2) and PCR-based MSI analysis.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1560"/>
        <w:gridCol w:w="1560"/>
        <w:gridCol w:w="2340"/>
      </w:tblGrid>
      <w:tr>
        <w:tc>
          <w:tcPr>
            <w:tcW w:type="dxa" w:w="234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Characteristic</w:t>
            </w:r>
          </w:p>
        </w:tc>
        <w:tc>
          <w:tcPr>
            <w:tcW w:type="dxa" w:w="156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dMMR (n=24)</w:t>
            </w:r>
          </w:p>
        </w:tc>
        <w:tc>
          <w:tcPr>
            <w:tcW w:type="dxa" w:w="156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pMMR (n=24)</w:t>
            </w:r>
          </w:p>
        </w:tc>
        <w:tc>
          <w:tcPr>
            <w:tcW w:type="dxa" w:w="156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p-value</w:t>
            </w:r>
          </w:p>
        </w:tc>
        <w:tc>
          <w:tcPr>
            <w:tcW w:type="dxa" w:w="234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Median age (yr)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62 (41–78)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64 (38–82)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0.61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Mann-Whitney U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% Male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54%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58%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0.77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Chi-square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Median TMB (mut/Mb)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47 (18–210)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 (1–12)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&lt;0.0001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Mann-Whitney U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Tumor stage (III/IV)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29% / 71%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25% / 75%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0.74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Chi-square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Median CD8+ TIL density (cells/mm²)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486 (210–1,840)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92 (18–380)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&lt;0.0001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Halo image analysis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Table 3.1 Patient cohort characteristics by MMR status. p-values for continuous variables by Mann-Whitney U; categorical by chi-square.</w:t>
      </w:r>
    </w:p>
    <w:p>
      <w:pPr>
        <w:spacing w:before="100" w:after="10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3.2 PD-1 Protein Expression: Immunohistochemistry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Multi-plex IHC was performed on FFPE sections using the Opal 7-color panel (Akoya Biosciences). Primary antibodies: anti-PD-1 (clone NAT105, 1:100; Abcam ab52587), anti-CD8 (clone C8/144B, 1:200), anti-CD4 (clone 4B12, 1:150), anti-FOXP3 (clone 236A/E7, 1:100), anti-pan-cytokeratin (clone AE1/AE3, 1:200). Antigen retrieval: HIER pH 9.0 (EDTA buffer), 20 min at 97°C. Automated staining on BOND-RX (Leica).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80"/>
        <w:gridCol w:w="1680"/>
        <w:gridCol w:w="1680"/>
        <w:gridCol w:w="1720"/>
      </w:tblGrid>
      <w:tr>
        <w:tc>
          <w:tcPr>
            <w:tcW w:type="dxa" w:w="26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Cell Population</w:t>
            </w:r>
          </w:p>
        </w:tc>
        <w:tc>
          <w:tcPr>
            <w:tcW w:type="dxa" w:w="168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dMMR % PD-1+</w:t>
            </w:r>
          </w:p>
        </w:tc>
        <w:tc>
          <w:tcPr>
            <w:tcW w:type="dxa" w:w="168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pMMR % PD-1+</w:t>
            </w:r>
          </w:p>
        </w:tc>
        <w:tc>
          <w:tcPr>
            <w:tcW w:type="dxa" w:w="168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OR (95% CI)</w:t>
            </w:r>
          </w:p>
        </w:tc>
        <w:tc>
          <w:tcPr>
            <w:tcW w:type="dxa" w:w="172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p-value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CD8+ TILs</w:t>
            </w:r>
          </w:p>
        </w:tc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82% (±6.2)</w:t>
            </w:r>
          </w:p>
        </w:tc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31% (±8.4)</w:t>
            </w:r>
          </w:p>
        </w:tc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10.9 (4.2–28.4)</w:t>
            </w:r>
          </w:p>
        </w:tc>
        <w:tc>
          <w:tcPr>
            <w:tcW w:type="dxa" w:w="17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&lt;0.0001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CD4+ TILs</w:t>
            </w:r>
          </w:p>
        </w:tc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64% (±9.1)</w:t>
            </w:r>
          </w:p>
        </w:tc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22% (±7.6)</w:t>
            </w:r>
          </w:p>
        </w:tc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6.4 (2.4–17.2)</w:t>
            </w:r>
          </w:p>
        </w:tc>
        <w:tc>
          <w:tcPr>
            <w:tcW w:type="dxa" w:w="17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0.0003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CD4+FOXP3+ Tregs</w:t>
            </w:r>
          </w:p>
        </w:tc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71% (±8.3)</w:t>
            </w:r>
          </w:p>
        </w:tc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28% (±9.2)</w:t>
            </w:r>
          </w:p>
        </w:tc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6.2 (2.3–16.8)</w:t>
            </w:r>
          </w:p>
        </w:tc>
        <w:tc>
          <w:tcPr>
            <w:tcW w:type="dxa" w:w="17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0.0004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PD-L1 on tumor cells (CPS ≥10)</w:t>
            </w:r>
          </w:p>
        </w:tc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71%</w:t>
            </w:r>
          </w:p>
        </w:tc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18%</w:t>
            </w:r>
          </w:p>
        </w:tc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11.2 (3.4–37.1)</w:t>
            </w:r>
          </w:p>
        </w:tc>
        <w:tc>
          <w:tcPr>
            <w:tcW w:type="dxa" w:w="17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&lt;0.0001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PD-L1 on macrophages</w:t>
            </w:r>
          </w:p>
        </w:tc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88%</w:t>
            </w:r>
          </w:p>
        </w:tc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42%</w:t>
            </w:r>
          </w:p>
        </w:tc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11.8 (3.0–46.6)</w:t>
            </w:r>
          </w:p>
        </w:tc>
        <w:tc>
          <w:tcPr>
            <w:tcW w:type="dxa" w:w="17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0.0001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Table 3.2 PD-1 and PD-L1 expression by cell subset and MMR status. Data expressed as mean ± SD % positive cells. OR = Odds Ratio by logistic regression; CPS = Combined Positive Score.</w:t>
      </w:r>
    </w:p>
    <w:p>
      <w:pPr>
        <w:spacing w:before="100" w:after="10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3.3 PD-1 Transcript Analysis: RNA-seq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Bulk RNA sequencing (Illumina NovaSeq 6000; 100bp paired-end; median 60M reads/sample) was performed on 32 fresh-frozen CRC specimens (dMMR n=16, pMMR n=16) obtained concurrently with IHC cohort. Alignment to GRCh38 using STAR v2.7.10; quantification with RSEM v1.3.3; differential expression analysis with DESeq2 v1.38.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80"/>
        <w:gridCol w:w="1680"/>
        <w:gridCol w:w="1680"/>
        <w:gridCol w:w="1920"/>
      </w:tblGrid>
      <w:tr>
        <w:tc>
          <w:tcPr>
            <w:tcW w:type="dxa" w:w="24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Gene</w:t>
            </w:r>
          </w:p>
        </w:tc>
        <w:tc>
          <w:tcPr>
            <w:tcW w:type="dxa" w:w="168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dMMR mean TPM</w:t>
            </w:r>
          </w:p>
        </w:tc>
        <w:tc>
          <w:tcPr>
            <w:tcW w:type="dxa" w:w="168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pMMR mean TPM</w:t>
            </w:r>
          </w:p>
        </w:tc>
        <w:tc>
          <w:tcPr>
            <w:tcW w:type="dxa" w:w="168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log2FC</w:t>
            </w:r>
          </w:p>
        </w:tc>
        <w:tc>
          <w:tcPr>
            <w:tcW w:type="dxa" w:w="192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Adj. p-value (BH)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PDCD1 (PD-1)</w:t>
            </w:r>
          </w:p>
        </w:tc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48.2 ± 12.4</w:t>
            </w:r>
          </w:p>
        </w:tc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8.6 ± 3.1</w:t>
            </w:r>
          </w:p>
        </w:tc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+2.49</w:t>
            </w:r>
          </w:p>
        </w:tc>
        <w:tc>
          <w:tcPr>
            <w:tcW w:type="dxa" w:w="19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3.2 × 10⁻⁸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CD274 (PD-L1)</w:t>
            </w:r>
          </w:p>
        </w:tc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82.4 ± 22.1</w:t>
            </w:r>
          </w:p>
        </w:tc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14.2 ± 6.8</w:t>
            </w:r>
          </w:p>
        </w:tc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+2.54</w:t>
            </w:r>
          </w:p>
        </w:tc>
        <w:tc>
          <w:tcPr>
            <w:tcW w:type="dxa" w:w="19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1.8 × 10⁻⁷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CD8A</w:t>
            </w:r>
          </w:p>
        </w:tc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124.6 ± 38.4</w:t>
            </w:r>
          </w:p>
        </w:tc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22.4 ± 8.2</w:t>
            </w:r>
          </w:p>
        </w:tc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+2.47</w:t>
            </w:r>
          </w:p>
        </w:tc>
        <w:tc>
          <w:tcPr>
            <w:tcW w:type="dxa" w:w="19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4.1 × 10⁻⁸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FOXP3</w:t>
            </w:r>
          </w:p>
        </w:tc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18.4 ± 6.2</w:t>
            </w:r>
          </w:p>
        </w:tc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4.8 ± 2.1</w:t>
            </w:r>
          </w:p>
        </w:tc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+1.94</w:t>
            </w:r>
          </w:p>
        </w:tc>
        <w:tc>
          <w:tcPr>
            <w:tcW w:type="dxa" w:w="19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2.4 × 10⁻⁵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HAVCR2 (TIM-3)</w:t>
            </w:r>
          </w:p>
        </w:tc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22.8 ± 7.4</w:t>
            </w:r>
          </w:p>
        </w:tc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5.2 ± 2.4</w:t>
            </w:r>
          </w:p>
        </w:tc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+2.13</w:t>
            </w:r>
          </w:p>
        </w:tc>
        <w:tc>
          <w:tcPr>
            <w:tcW w:type="dxa" w:w="19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8.6 × 10⁻⁶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LAG3</w:t>
            </w:r>
          </w:p>
        </w:tc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16.2 ± 5.8</w:t>
            </w:r>
          </w:p>
        </w:tc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3.4 ± 1.6</w:t>
            </w:r>
          </w:p>
        </w:tc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+2.25</w:t>
            </w:r>
          </w:p>
        </w:tc>
        <w:tc>
          <w:tcPr>
            <w:tcW w:type="dxa" w:w="19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1.2 × 10⁻⁵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IFNG (IFN-γ)</w:t>
            </w:r>
          </w:p>
        </w:tc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38.4 ± 14.2</w:t>
            </w:r>
          </w:p>
        </w:tc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6.8 ± 2.8</w:t>
            </w:r>
          </w:p>
        </w:tc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+2.50</w:t>
            </w:r>
          </w:p>
        </w:tc>
        <w:tc>
          <w:tcPr>
            <w:tcW w:type="dxa" w:w="19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2.8 × 10⁻⁸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Table 3.3 Key immune checkpoint gene expression. TPM = transcripts per million; log2FC = log2 fold-change (dMMR vs pMMR); adjusted p-value by Benjamini-Hochberg method. Co-expression of TIM-3 and LAG-3 with PD-1 indicates polyfunctional T-cell exhaustion signature in dMMR tumors.</w:t>
      </w:r>
    </w:p>
    <w:p>
      <w:pPr>
        <w:spacing w:before="100" w:after="100"/>
      </w:pPr>
    </w:p>
    <w:p>
      <w:pPr>
        <w:pStyle w:val="Heading1"/>
        <w:pBdr>
          <w:bottom w:val="single" w:color="2E6DA4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4. Functional Validation: In Vitro Studies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4.1 Mixed Lymphocyte Reaction (MLR) Assay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PD-1 functional relevance was assessed by measuring T-cell reactivation following PD-1 blockade in a standard MLR system. Human PBMCs (HLA-typed donors; n=6 independent experiments, each in triplicate) were co-cultured with allogeneic mature DCs for 96h. Plate-bound anti-PD-1 or isotype control were added at initiation.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Readouts: IFN-γ (ELISA; Meso Scale Discovery), IL-2 (ELISA), T-cell proliferation (CellTrace Violet dilution by flow cytometry), granzyme B (Luminex). Flow cytometry panel: CD3, CD4, CD8, PD-1, Ki67, Granzyme B (BD LSRFortessa).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80"/>
        <w:gridCol w:w="1680"/>
        <w:gridCol w:w="1680"/>
        <w:gridCol w:w="1920"/>
      </w:tblGrid>
      <w:tr>
        <w:tc>
          <w:tcPr>
            <w:tcW w:type="dxa" w:w="24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Condition</w:t>
            </w:r>
          </w:p>
        </w:tc>
        <w:tc>
          <w:tcPr>
            <w:tcW w:type="dxa" w:w="168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IFN-γ (pg/mL)</w:t>
            </w:r>
          </w:p>
        </w:tc>
        <w:tc>
          <w:tcPr>
            <w:tcW w:type="dxa" w:w="168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IL-2 (pg/mL)</w:t>
            </w:r>
          </w:p>
        </w:tc>
        <w:tc>
          <w:tcPr>
            <w:tcW w:type="dxa" w:w="168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CD8+ Ki67+</w:t>
            </w:r>
          </w:p>
        </w:tc>
        <w:tc>
          <w:tcPr>
            <w:tcW w:type="dxa" w:w="192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GzmB (pg/mL)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Isotype control (10 µg/mL)</w:t>
            </w:r>
          </w:p>
        </w:tc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184 ± 28</w:t>
            </w:r>
          </w:p>
        </w:tc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62 ± 14</w:t>
            </w:r>
          </w:p>
        </w:tc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8.4% ± 1.2</w:t>
            </w:r>
          </w:p>
        </w:tc>
        <w:tc>
          <w:tcPr>
            <w:tcW w:type="dxa" w:w="19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124 ± 22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Cervimab 0.1 µg/mL</w:t>
            </w:r>
          </w:p>
        </w:tc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286 ± 42</w:t>
            </w:r>
          </w:p>
        </w:tc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88 ± 19</w:t>
            </w:r>
          </w:p>
        </w:tc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12.8% ± 1.8</w:t>
            </w:r>
          </w:p>
        </w:tc>
        <w:tc>
          <w:tcPr>
            <w:tcW w:type="dxa" w:w="19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198 ± 34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Cervimab 1 µg/mL</w:t>
            </w:r>
          </w:p>
        </w:tc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482 ± 68</w:t>
            </w:r>
          </w:p>
        </w:tc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142 ± 28</w:t>
            </w:r>
          </w:p>
        </w:tc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18.4% ± 2.2</w:t>
            </w:r>
          </w:p>
        </w:tc>
        <w:tc>
          <w:tcPr>
            <w:tcW w:type="dxa" w:w="19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312 ± 48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Cervimab 10 µg/mL</w:t>
            </w:r>
          </w:p>
        </w:tc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698 ± 82</w:t>
            </w:r>
          </w:p>
        </w:tc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198 ± 38</w:t>
            </w:r>
          </w:p>
        </w:tc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24.2% ± 3.1</w:t>
            </w:r>
          </w:p>
        </w:tc>
        <w:tc>
          <w:tcPr>
            <w:tcW w:type="dxa" w:w="19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424 ± 62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Pembrolizumab 10 µg/mL (ref)</w:t>
            </w:r>
          </w:p>
        </w:tc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644 ± 76</w:t>
            </w:r>
          </w:p>
        </w:tc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184 ± 34</w:t>
            </w:r>
          </w:p>
        </w:tc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22.6% ± 2.8</w:t>
            </w:r>
          </w:p>
        </w:tc>
        <w:tc>
          <w:tcPr>
            <w:tcW w:type="dxa" w:w="19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398 ± 58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Table 4.1 MLR assay results: cervimab dose-dependently increases T-cell activation markers. Values represent mean ± SD (n=6 donors, triplicate wells). Cervimab 10 µg/mL shows comparable activity to pembrolizumab reference. GzmB = Granzyme B.</w:t>
      </w:r>
    </w:p>
    <w:p>
      <w:pPr>
        <w:spacing w:before="100" w:after="10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4.2 PD-1/PD-L1 Competitive Binding (SPR)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Surface plasmon resonance (Biacore T200; Cytiva) was used to quantify PD-1 binding kinetics and competitive displacement of PD-L1. Recombinant human PD-1-ECD (aa 21–167; His-tagged; Acro Biosystems PD1-H52H3) was captured on Series S NiNTA chips at 50 RU. Analyte: cervimab (serially diluted 0.02–500 nM in HBS-EP+ running buffer). All experiments at 25°C, 3 replicate concentration series.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560"/>
        <w:gridCol w:w="1560"/>
        <w:gridCol w:w="1560"/>
        <w:gridCol w:w="2280"/>
      </w:tblGrid>
      <w:tr>
        <w:tc>
          <w:tcPr>
            <w:tcW w:type="dxa" w:w="24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Analyte</w:t>
            </w:r>
          </w:p>
        </w:tc>
        <w:tc>
          <w:tcPr>
            <w:tcW w:type="dxa" w:w="156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kon (M⁻¹s⁻¹)</w:t>
            </w:r>
          </w:p>
        </w:tc>
        <w:tc>
          <w:tcPr>
            <w:tcW w:type="dxa" w:w="156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koff (s⁻¹)</w:t>
            </w:r>
          </w:p>
        </w:tc>
        <w:tc>
          <w:tcPr>
            <w:tcW w:type="dxa" w:w="156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KD (nM)</w:t>
            </w:r>
          </w:p>
        </w:tc>
        <w:tc>
          <w:tcPr>
            <w:tcW w:type="dxa" w:w="228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PD-L1 displacement IC₅₀ (nM)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Cervimab / human PD-1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4.8 × 10⁵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2.0 × 10⁻⁴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0.42</w:t>
            </w:r>
          </w:p>
        </w:tc>
        <w:tc>
          <w:tcPr>
            <w:tcW w:type="dxa" w:w="2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0.68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Cervimab / cyno PD-1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3.9 × 10⁵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2.4 × 10⁻⁴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0.61</w:t>
            </w:r>
          </w:p>
        </w:tc>
        <w:tc>
          <w:tcPr>
            <w:tcW w:type="dxa" w:w="2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0.94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Cervimab / mouse PD-1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N.D.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N.D.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&gt;10,000</w:t>
            </w:r>
          </w:p>
        </w:tc>
        <w:tc>
          <w:tcPr>
            <w:tcW w:type="dxa" w:w="2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&gt;10,000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Pembrolizumab / human PD-1 (ref)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2.1 × 10⁵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2.3 × 10⁻⁴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1.06</w:t>
            </w:r>
          </w:p>
        </w:tc>
        <w:tc>
          <w:tcPr>
            <w:tcW w:type="dxa" w:w="2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1.48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Nivolumab / human PD-1 (ref)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1.8 × 10⁵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2.1 × 10⁻⁴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1.12</w:t>
            </w:r>
          </w:p>
        </w:tc>
        <w:tc>
          <w:tcPr>
            <w:tcW w:type="dxa" w:w="2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1.68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Table 4.2 SPR kinetics. Cervimab demonstrates 2.5-fold higher affinity for human PD-1 than pembrolizumab and 2.7-fold over nivolumab. No cross-reactivity with mouse PD-1 confirmed (consistent with IgG4 Fc engineering; justifies cynomolgus monkey as the relevant toxicology species per ICH S9). N.D. = not determinable.</w:t>
      </w:r>
    </w:p>
    <w:p>
      <w:pPr>
        <w:spacing w:before="100" w:after="100"/>
      </w:pPr>
    </w:p>
    <w:p>
      <w:pPr>
        <w:pStyle w:val="Heading1"/>
        <w:pBdr>
          <w:bottom w:val="single" w:color="2E6DA4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5. Genetic Validation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5.1 CRISPR-Cas9 Knockout Studies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PDCD1 knockout (KO) was generated in Jurkat cells (clone E6-1) and primary CD8+ T cells using ribonucleoprotein (RNP) delivery (sgRNA: 5'-GGTCACGGCGCTGTCCCTGT-3'; Cas9 nuclease; 4D-Nucleofector, Lonza). KO efficiency confirmed by flow cytometry (&gt;95% loss of surface PD-1 by Day 7) and Sanger sequencing (TIDE analysis: 94% indel frequency).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PD-L1-expressing tumor cell line (MC38-hPD-L1; stably transduced with human PD-L1) was used as stimulator. Co-culture: KO or WT CD8+ T cells with irradiated MC38-hPD-L1 cells at 10:1 E:T ratio, 72h.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80"/>
        <w:gridCol w:w="1680"/>
        <w:gridCol w:w="3200"/>
      </w:tblGrid>
      <w:tr>
        <w:tc>
          <w:tcPr>
            <w:tcW w:type="dxa" w:w="28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Condition</w:t>
            </w:r>
          </w:p>
        </w:tc>
        <w:tc>
          <w:tcPr>
            <w:tcW w:type="dxa" w:w="168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IFN-γ (pg/mL)</w:t>
            </w:r>
          </w:p>
        </w:tc>
        <w:tc>
          <w:tcPr>
            <w:tcW w:type="dxa" w:w="168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% Tumor lysis</w:t>
            </w:r>
          </w:p>
        </w:tc>
        <w:tc>
          <w:tcPr>
            <w:tcW w:type="dxa" w:w="32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Interpretation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WT CD8+ + MC38-hPD-L1</w:t>
            </w:r>
          </w:p>
        </w:tc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128 ± 22</w:t>
            </w:r>
          </w:p>
        </w:tc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18% ± 3.2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Baseline: PD-L1-mediated suppression active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WT CD8+ + MC38-hPD-L1 + Cervimab 10 µg/mL</w:t>
            </w:r>
          </w:p>
        </w:tc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486 ± 64</w:t>
            </w:r>
          </w:p>
        </w:tc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52% ± 6.8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Cervimab rescues T-cell function (+3.8-fold IFN-γ)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PD-1 KO CD8+ + MC38-hPD-L1</w:t>
            </w:r>
          </w:p>
        </w:tc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512 ± 78</w:t>
            </w:r>
          </w:p>
        </w:tc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54% ± 7.2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KO phenocopies cervimab blockade (genetic validation)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PD-1 KO CD8+ + MC38-hPD-L1 + Cervimab</w:t>
            </w:r>
          </w:p>
        </w:tc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524 ± 82</w:t>
            </w:r>
          </w:p>
        </w:tc>
        <w:tc>
          <w:tcPr>
            <w:tcW w:type="dxa" w:w="1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55% ± 7.6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additive effect: cervimab acts solely via PD-1 (on-target)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Table 5.1 CRISPR-Cas9 validation. The near-identical activity of cervimab-blocked WT cells and PD-1 KO cells, with no additive effect in combination, provides genetic proof that cervimab's mechanism is exclusively PD-1-mediated.</w:t>
      </w:r>
    </w:p>
    <w:p>
      <w:pPr>
        <w:spacing w:before="100" w:after="100"/>
      </w:pPr>
    </w:p>
    <w:p>
      <w:pPr>
        <w:pStyle w:val="Heading1"/>
        <w:pBdr>
          <w:bottom w:val="single" w:color="2E6DA4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6. In Vivo Validation: Syngeneic Tumor Models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6.1 MC38-hPD-L1 Humanized Mouse Model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Preclinical efficacy was assessed in hPD-1 knock-in mice (C57BL/6 background; Biocytogen) bearing subcutaneous MC38-hPD-L1 tumors. Groups: (1) Vehicle IgG4 isotype control 10 mg/kg IV Q3W, (2) Cervimab 1 mg/kg IV Q3W, (3) Cervimab 3 mg/kg IV Q3W, (4) Cervimab 10 mg/kg IV Q3W, (5) Pembrolizumab 3 mg/kg IV Q3W (reference). n=10/group.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60"/>
        <w:gridCol w:w="1560"/>
        <w:gridCol w:w="1560"/>
        <w:gridCol w:w="1880"/>
      </w:tblGrid>
      <w:tr>
        <w:tc>
          <w:tcPr>
            <w:tcW w:type="dxa" w:w="280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Treatment Group</w:t>
            </w:r>
          </w:p>
        </w:tc>
        <w:tc>
          <w:tcPr>
            <w:tcW w:type="dxa" w:w="156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Median TGI (%)</w:t>
            </w:r>
          </w:p>
        </w:tc>
        <w:tc>
          <w:tcPr>
            <w:tcW w:type="dxa" w:w="156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 Rate</w:t>
            </w:r>
          </w:p>
        </w:tc>
        <w:tc>
          <w:tcPr>
            <w:tcW w:type="dxa" w:w="156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Median OS (days)</w:t>
            </w:r>
          </w:p>
        </w:tc>
        <w:tc>
          <w:tcPr>
            <w:tcW w:type="dxa" w:w="1880"/>
            <w:tcBorders>
              <w:top w:val="single" w:color="D6E4F0" w:sz="1"/>
              <w:left w:val="single" w:color="D6E4F0" w:sz="1"/>
              <w:bottom w:val="single" w:color="D6E4F0" w:sz="1"/>
              <w:right w:val="single" w:color="D6E4F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 vs control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IgG4 isotype control 10 mg/kg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0/10 (0%)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22.4</w:t>
            </w:r>
          </w:p>
        </w:tc>
        <w:tc>
          <w:tcPr>
            <w:tcW w:type="dxa" w:w="18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Cervimab 1 mg/kg Q3W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42%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1/10 (10%)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31.8</w:t>
            </w:r>
          </w:p>
        </w:tc>
        <w:tc>
          <w:tcPr>
            <w:tcW w:type="dxa" w:w="18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0.042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Cervimab 3 mg/kg Q3W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68%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3/10 (30%)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42.6</w:t>
            </w:r>
          </w:p>
        </w:tc>
        <w:tc>
          <w:tcPr>
            <w:tcW w:type="dxa" w:w="18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0.0008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Cervimab 10 mg/kg Q3W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81%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4/10 (40%)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reached</w:t>
            </w:r>
          </w:p>
        </w:tc>
        <w:tc>
          <w:tcPr>
            <w:tcW w:type="dxa" w:w="18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&lt;0.0001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Pembrolizumab 3 mg/kg Q3W (ref)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64%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3/10 (30%)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40.2</w:t>
            </w:r>
          </w:p>
        </w:tc>
        <w:tc>
          <w:tcPr>
            <w:tcW w:type="dxa" w:w="18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0.0012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Table 6.1 Syngeneic model efficacy. TGI = tumor growth inhibition vs control at Day 21. OS by Kaplan-Meier with log-rank test. Cervimab 10 mg/kg shows superior efficacy with durable complete responses. Consistent with class pharmacology; performance comparable or superior to pembrolizumab reference.</w:t>
      </w:r>
    </w:p>
    <w:p>
      <w:pPr>
        <w:spacing w:before="100" w:after="100"/>
      </w:pPr>
    </w:p>
    <w:p>
      <w:pPr>
        <w:pStyle w:val="Heading1"/>
        <w:pBdr>
          <w:bottom w:val="single" w:color="2E6DA4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7. Target Druggability Assessment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7.1 Epitope and Structural Analysis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The cervimab binding epitope was mapped by hydrogen-deuterium exchange mass spectrometry (HDX-MS) and alanine scanning mutagenesis of PD-1-ECD. Key contacts were identified on the CC' and FG loops of PD-1, overlapping the PD-L1 binding interface: residues Gln133, Glu136, Asn58 (glycosylated), and Arg139. This epitope overlaps substantially with the pembrolizumab binding interface (PDB: 5B8C) but includes a unique contribution from the Asn58 glycan, providing a differentiated binding mode.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The total buried surface area of cervimab on PD-1-ECD is ~1,180 Å² (HDX-MS estimate), compared to ~1,137 Å² for pembrolizumab (crystallographic; Lin et al., Sci Rep 2016). The larger buried surface area is consistent with cervimab's ~2.5-fold higher affinity for PD-1.</w:t>
      </w:r>
    </w:p>
    <w:p>
      <w:pPr>
        <w:spacing w:before="100" w:after="10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7.2 Species Cross-Reactivity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Cervimab binds human PD-1 (KD 0.42 nM) and cynomolgus monkey PD-1 (KD 0.61 nM) with comparable affinity, supporting the cynomolgus monkey as the pharmacologically relevant toxicology species per ICH S9. No binding to mouse or rat PD-1 was detected (&gt;10 µM), consistent with sequence divergence in the FG loop region (mouse PD-1 Arg139→Gln substitution).</w:t>
      </w:r>
    </w:p>
    <w:p>
      <w:pPr>
        <w:spacing w:before="100" w:after="100"/>
      </w:pPr>
    </w:p>
    <w:p>
      <w:pPr>
        <w:pStyle w:val="Heading1"/>
        <w:pBdr>
          <w:bottom w:val="single" w:color="2E6DA4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8. Target Validation Conclusions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The data presented in this report provide robust multi-modal validation of PD-1 as a therapeutic target for Cervimab in dMMR/MSI-H mCRC: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Expression: PD-1 is dramatically upregulated on CD8+ TILs in dMMR tumors (82% PD-1+ vs 31% in pMMR; OR 10.9, p&lt;0.0001), driven by high neoantigen burden and chronic TCR stimulation.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Function: PD-1 blockade by cervimab dose-dependently restores T-cell IFN-γ production, proliferation, and cytolytic activity in ex vivo MLR and co-culture systems.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Genetic validation: PDCD1 KO phenocopies cervimab activity with no additive effect, confirming on-target mechanism.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In vivo: Dose-dependent tumor growth inhibition (up to 81% TGI) and complete responses (40%) in hPD-1 knock-in syngeneic model.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Druggability: Defined structural epitope on PD-L1-binding interface; superior affinity vs approved agents; complete cross-reactivity with cynomolgus PD-1 supporting nonclinical program design.</w:t>
      </w:r>
    </w:p>
    <w:p>
      <w:pPr>
        <w:spacing w:before="100" w:after="100"/>
      </w:pP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On the basis of these findings, PD-1 is designated a VALIDATED and PRIORITIZED target for Cervimab development. This report supports advancement to IND-enabling studies (GLP toxicology) in the cynomolgus monkey as the pharmacologically relevant species.</w:t>
      </w:r>
    </w:p>
    <w:p>
      <w:pPr>
        <w:spacing w:before="100" w:after="100"/>
      </w:pPr>
    </w:p>
    <w:p>
      <w:pPr>
        <w:pStyle w:val="Heading1"/>
        <w:pBdr>
          <w:bottom w:val="single" w:color="2E6DA4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9. Regulatory Compliance Statement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Studies described herein were conducted in accordance with: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21 CFR 312.23(a)(8) — Pharmacology and toxicology information requirements for IND submission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ICH S9 — Nonclinical Evaluation for Anticancer Pharmaceuticals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ICH S6(R1) — Preclinical Safety Evaluation of Biotechnology-Derived Pharmaceuticals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FDA Guidance: Target Animal Safety for Veterinary Biological Products (not applicable; referenced for comparative purposes)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ARRIVE 2.0 guidelines for in vivo study reporting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IACUC Protocol MOS-IACUC-2021-008 (approved 2021-06-01)</w:t>
      </w:r>
    </w:p>
    <w:p>
      <w:pPr>
        <w:spacing w:before="100" w:after="100"/>
      </w:pPr>
    </w:p>
    <w:p>
      <w:pPr>
        <w:spacing w:before="60" w:after="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Prepared by: Discovery Research Team, Meridian Oncology Sciences | Reviewed by: Chief Scientific Officer | Approved by: Head of Regulatory Affairs | Distribution: IND Working Group, Research Leadership</w:t>
      </w:r>
    </w:p>
    <w:sectPr>
      <w:headerReference w:type="default" r:id="rId6"/>
      <w:footerReference w:type="default" r:id="rId7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6DA4" w:sz="4"/>
      </w:pBdr>
    </w:pPr>
    <w:r>
      <w:rPr>
        <w:rFonts w:ascii="Arial" w:cs="Arial" w:eastAsia="Arial" w:hAnsi="Arial"/>
        <w:color w:val="888888"/>
        <w:sz w:val="16"/>
        <w:szCs w:val="16"/>
      </w:rPr>
      <w:t xml:space="preserve">MOS-TVR-2021-001 v2.1  |  Page </w:t>
    </w:r>
    <w:pgNum/>
    <w:r>
      <w:rPr>
        <w:rFonts w:ascii="Arial" w:cs="Arial" w:eastAsia="Arial" w:hAnsi="Arial"/>
        <w:color w:val="888888"/>
        <w:sz w:val="16"/>
        <w:szCs w:val="16"/>
      </w:rPr>
      <w:t xml:space="preserve">  |  Cervimab Preclinical Program  |  © 2023 Meridian Oncology Sciences, Inc.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6DA4" w:sz="4"/>
      </w:pBdr>
    </w:pPr>
    <w:r>
      <w:rPr>
        <w:rFonts w:ascii="Arial" w:cs="Arial" w:eastAsia="Arial" w:hAnsi="Arial"/>
        <w:b/>
        <w:bCs/>
        <w:color w:val="1A3A5C"/>
        <w:sz w:val="16"/>
        <w:szCs w:val="16"/>
      </w:rPr>
      <w:t xml:space="preserve">MERIDIAN ONCOLOGY SCIENCES  |  </w:t>
    </w:r>
    <w:r>
      <w:rPr>
        <w:rFonts w:ascii="Arial" w:cs="Arial" w:eastAsia="Arial" w:hAnsi="Arial"/>
        <w:color w:val="555555"/>
        <w:sz w:val="16"/>
        <w:szCs w:val="16"/>
      </w:rPr>
      <w:t xml:space="preserve">Target Validation Report</w:t>
    </w:r>
    <w:r>
      <w:rPr>
        <w:rFonts w:ascii="Arial" w:cs="Arial" w:eastAsia="Arial" w:hAnsi="Arial"/>
        <w:color w:val="888888"/>
        <w:sz w:val="16"/>
        <w:szCs w:val="16"/>
      </w:rPr>
      <w:t xml:space="preserve">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A3A5C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6DA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2026-03-15T17:47:22.643Z</dcterms:created>
  <dcterms:modified xsi:type="dcterms:W3CDTF">2026-03-15T17:47:22.644Z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