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3A5C"/>
          <w:sz w:val="28"/>
          <w:szCs w:val="28"/>
        </w:rPr>
        <w:t xml:space="preserve">MERIDIAN ONCOLOGY SCIENCES, INC.</w:t>
      </w:r>
    </w:p>
    <w:p>
      <w:pPr>
        <w:spacing w:before="0" w:after="60"/>
        <w:jc w:val="center"/>
      </w:pPr>
      <w:r>
        <w:rPr>
          <w:rFonts w:ascii="Arial" w:cs="Arial" w:eastAsia="Arial" w:hAnsi="Arial"/>
          <w:color w:val="555555"/>
          <w:sz w:val="20"/>
          <w:szCs w:val="20"/>
        </w:rPr>
        <w:t xml:space="preserve">Discovery &amp; Preclinical Research Division</w:t>
      </w:r>
    </w:p>
    <w:p>
      <w:pPr>
        <w:spacing w:before="100" w:after="100"/>
      </w:pPr>
    </w:p>
    <w:p>
      <w:pPr>
        <w:pBdr>
          <w:top w:val="single" w:color="1A3A5C" w:sz="8" w:space="8"/>
          <w:bottom w:val="single" w:color="1A3A5C" w:sz="8" w:space="8"/>
        </w:pBdr>
        <w:spacing w:before="400" w:after="200"/>
        <w:jc w:val="center"/>
      </w:pPr>
      <w:r>
        <w:rPr>
          <w:rFonts w:ascii="Arial" w:cs="Arial" w:eastAsia="Arial" w:hAnsi="Arial"/>
          <w:b/>
          <w:bCs/>
          <w:color w:val="1A3A5C"/>
          <w:sz w:val="36"/>
          <w:szCs w:val="36"/>
        </w:rPr>
        <w:t xml:space="preserve">Structure-Activity Relationship (SAR) Model Report</w:t>
      </w:r>
    </w:p>
    <w:p>
      <w:pPr>
        <w:spacing w:before="120" w:after="400"/>
        <w:jc w:val="center"/>
      </w:pPr>
      <w:r>
        <w:rPr>
          <w:rFonts w:ascii="Arial" w:cs="Arial" w:eastAsia="Arial" w:hAnsi="Arial"/>
          <w:i/>
          <w:iCs/>
          <w:color w:val="444444"/>
          <w:sz w:val="24"/>
          <w:szCs w:val="24"/>
        </w:rPr>
        <w:t xml:space="preserve">Cervimab CDR Engineering and Affinity Maturation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MOS-SAR-2021-003</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v2.2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2021-08-20</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Program:</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Anti-PD-1 mAb | 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dMMR/MSI-H Metastatic Colorectal Cancer</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Classification: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CONFIDENTIAL — IND Supporting Data</w:t>
            </w:r>
          </w:p>
        </w:tc>
      </w:tr>
    </w:tbl>
    <w:p>
      <w:pPr>
        <w:spacing w:before="100" w:after="100"/>
      </w:pPr>
    </w:p>
    <w:p>
      <w:pPr>
        <w:spacing w:before="60" w:after="60"/>
      </w:pPr>
      <w:r>
        <w:rPr>
          <w:rFonts w:ascii="Arial" w:cs="Arial" w:eastAsia="Arial" w:hAnsi="Arial"/>
          <w:i/>
          <w:iCs/>
          <w:color w:val="555555"/>
          <w:sz w:val="18"/>
          <w:szCs w:val="18"/>
        </w:rPr>
        <w:t xml:space="preserve">This document contains confidential and proprietary information of Meridian Oncology Sciences, Inc. Prepared in accordance with 21 CFR 312.23(a)(8), ICH S9, and applicable FDA guidance documents.</w:t>
      </w:r>
    </w:p>
    <w:p>
      <w:r>
        <w:br w:type="page"/>
      </w:r>
    </w:p>
    <w:p>
      <w:pPr>
        <w:pStyle w:val="Heading1"/>
        <w:pBdr>
          <w:bottom w:val="single" w:color="2E6DA4" w:sz="6" w:space="1"/>
        </w:pBdr>
        <w:spacing w:before="320" w:after="160"/>
      </w:pPr>
      <w:r>
        <w:rPr>
          <w:rFonts w:ascii="Arial" w:cs="Arial" w:eastAsia="Arial" w:hAnsi="Arial"/>
          <w:b/>
          <w:bCs/>
          <w:color w:val="1A3A5C"/>
          <w:sz w:val="28"/>
          <w:szCs w:val="28"/>
        </w:rPr>
        <w:t xml:space="preserve">1. Introduction</w:t>
      </w:r>
    </w:p>
    <w:p>
      <w:pPr>
        <w:spacing w:before="60" w:after="60"/>
      </w:pPr>
      <w:r>
        <w:rPr>
          <w:rFonts w:ascii="Arial" w:cs="Arial" w:eastAsia="Arial" w:hAnsi="Arial"/>
          <w:sz w:val="20"/>
          <w:szCs w:val="20"/>
        </w:rPr>
        <w:t xml:space="preserve">This report documents the structure-activity relationship (SAR) analysis conducted during optimization of the Cervimab (MOS-PD1-047) antibody from its parental clone MOS-PD1-COM (KD 7.6 nM for human PD-1) to the optimized lead (KD 0.42 nM). Optimization encompassed CDR scanning mutagenesis, affinity maturation by phage display error-prone PCR and site-directed CDR diversification, and structural modeling of key contacts based on homology to published PD-1/antibody crystal structures.</w:t>
      </w:r>
    </w:p>
    <w:p>
      <w:pPr>
        <w:spacing w:before="60" w:after="60"/>
      </w:pPr>
      <w:r>
        <w:rPr>
          <w:rFonts w:ascii="Arial" w:cs="Arial" w:eastAsia="Arial" w:hAnsi="Arial"/>
          <w:sz w:val="20"/>
          <w:szCs w:val="20"/>
        </w:rPr>
        <w:t xml:space="preserve">The final optimized antibody sequence incorporates three key CDR mutations relative to the parental clone: H-CDR2 W52F (heavy chain CDR2, Trp→Phe), H-CDR3 Y98R (Tyr→Arg), and L-CDR1 S27D (light chain CDR1, Ser→Asp), each contributing independently and additively to the 18-fold affinity improvement.</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2. Parental Clone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Property</w:t>
            </w:r>
          </w:p>
        </w:tc>
        <w:tc>
          <w:tcPr>
            <w:tcW w:type="dxa" w:w="62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Parental Clone MOS-PD1-COM</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VH gene family</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IGHV3-33*01 (germline assignment by IgBLAST)</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VL gene family</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IGKV1-39*01 (germline assignment)</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CDR-H1 (IMGT)</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GFTFSSY (residues 26–32)</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CDR-H2 (IMGT)</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ISSGGST (residues 51–57); W52 is hot-spot</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CDR-H3 (IMGT)</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ARGGYDILTYFDY (residues 93–102); Y98 is hot-spot</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CDR-L1 (IMGT)</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QSVSSY (residues 24–29); S27 is hot-spot</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CDR-L2 (IMGT)</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DAS (residues 50–52)</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CDR-L3 (IMGT)</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QQRSNWPLT (residues 89–97)</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KD (human PD-1, SPR)</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 nM</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PD-L1 IC₅₀ (competitive ELISA)</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12.4 nM</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MLR IFN-γ fold increase (10 µg/mL)</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2.1× vs isotype</w:t>
            </w:r>
          </w:p>
        </w:tc>
      </w:tr>
    </w:tbl>
    <w:p>
      <w:pPr>
        <w:spacing w:before="60" w:after="60"/>
      </w:pPr>
      <w:r>
        <w:rPr>
          <w:rFonts w:ascii="Arial" w:cs="Arial" w:eastAsia="Arial" w:hAnsi="Arial"/>
          <w:i/>
          <w:iCs/>
          <w:color w:val="555555"/>
          <w:sz w:val="18"/>
          <w:szCs w:val="18"/>
        </w:rPr>
        <w:t xml:space="preserve">Table 2.1 Parental clone characterization. CDR sequences in single-letter amino acid code. Hot-spot residues identified by alanine scanning (see Section 3).</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3. CDR Alanine Scanning Mutagenesis</w:t>
      </w:r>
    </w:p>
    <w:p>
      <w:pPr>
        <w:spacing w:before="60" w:after="60"/>
      </w:pPr>
      <w:r>
        <w:rPr>
          <w:rFonts w:ascii="Arial" w:cs="Arial" w:eastAsia="Arial" w:hAnsi="Arial"/>
          <w:sz w:val="20"/>
          <w:szCs w:val="20"/>
        </w:rPr>
        <w:t xml:space="preserve">All 31 CDR residues (excluding glycines and prolines) were individually substituted with alanine. Variants were expressed as Fabs in E. coli and characterized by SPR and competitive ELISA. Residues showing &gt;2-fold loss of affinity upon Ala substitution were classified as hot-spots.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80"/>
        <w:gridCol w:w="1680"/>
        <w:gridCol w:w="1680"/>
        <w:gridCol w:w="2440"/>
      </w:tblGrid>
      <w:tr>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Position (IMGT)</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CDR</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Residue</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WT (nM)</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Ala (nM)</w:t>
            </w:r>
          </w:p>
        </w:tc>
        <w:tc>
          <w:tcPr>
            <w:tcW w:type="dxa" w:w="2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 / PD-1 Contact</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 W52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Trp (W)</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284 (37×↑)</w:t>
            </w:r>
          </w:p>
        </w:tc>
        <w:tc>
          <w:tcPr>
            <w:tcW w:type="dxa" w:w="2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Critical: hydrophobic contact with PD-1 Ile126/Leu128 pocket</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H-CDR3 Y98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H-CDR3</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Tyr (Y)</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148 (19×↑)</w:t>
            </w:r>
          </w:p>
        </w:tc>
        <w:tc>
          <w:tcPr>
            <w:tcW w:type="dxa" w:w="2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Critical: H-bond to PD-1 Glu136 (salt bridge contribution)</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L-CDR1 S27</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L-CDR1</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Ser (S)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62 (8×↑)</w:t>
            </w:r>
          </w:p>
        </w:tc>
        <w:tc>
          <w:tcPr>
            <w:tcW w:type="dxa" w:w="2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Important: water-mediated H-bond network to PD-1 Asn66</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H-CDR1 S30</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H-CDR1</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Ser (S)</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 (3×↑)</w:t>
            </w:r>
          </w:p>
        </w:tc>
        <w:tc>
          <w:tcPr>
            <w:tcW w:type="dxa" w:w="2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Moderate: H-bond to PD-1 Arg139</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 S57</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Ser (S)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19 (2.5×↑)</w:t>
            </w:r>
          </w:p>
        </w:tc>
        <w:tc>
          <w:tcPr>
            <w:tcW w:type="dxa" w:w="2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Moderate: H-bond to PD-1 Gln133</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L-CDR3 R94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L-CDR3</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Arg (R)</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18 (2.4×↑)</w:t>
            </w:r>
          </w:p>
        </w:tc>
        <w:tc>
          <w:tcPr>
            <w:tcW w:type="dxa" w:w="2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Moderate: salt bridge with PD-1 Asp85</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 T58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Thr (T)</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16 (2.1×↑)</w:t>
            </w:r>
          </w:p>
        </w:tc>
        <w:tc>
          <w:tcPr>
            <w:tcW w:type="dxa" w:w="2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Moderate: H-bond to PD-1 Gln133 (main chain carbonyl)</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All other CDR residues (24)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Mixed</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Various</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&lt;15 nM (tolerated)</w:t>
            </w:r>
          </w:p>
        </w:tc>
        <w:tc>
          <w:tcPr>
            <w:tcW w:type="dxa" w:w="2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Minimal contribution (&lt;2-fold Ala effect)</w:t>
            </w:r>
          </w:p>
        </w:tc>
      </w:tr>
    </w:tbl>
    <w:p>
      <w:pPr>
        <w:spacing w:before="60" w:after="60"/>
      </w:pPr>
      <w:r>
        <w:rPr>
          <w:rFonts w:ascii="Arial" w:cs="Arial" w:eastAsia="Arial" w:hAnsi="Arial"/>
          <w:i/>
          <w:iCs/>
          <w:color w:val="555555"/>
          <w:sz w:val="18"/>
          <w:szCs w:val="18"/>
        </w:rPr>
        <w:t xml:space="preserve">Table 3.1 CDR alanine scan. Three hot-spot residues (W52, Y98, S27) identified as primary engineering targets. Contact assignments based on homology modeling using pembrolizumab-PD-1 crystal structure (PDB 5B8C) and published CDR-PD-1 contact data (Lin et al., Sci Rep 2016; PMC9667898).</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4. Affinity Maturation: CDR-Targeted Diversification</w:t>
      </w:r>
    </w:p>
    <w:p>
      <w:pPr>
        <w:pStyle w:val="Heading2"/>
        <w:spacing w:before="240" w:after="120"/>
      </w:pPr>
      <w:r>
        <w:rPr>
          <w:rFonts w:ascii="Arial" w:cs="Arial" w:eastAsia="Arial" w:hAnsi="Arial"/>
          <w:b/>
          <w:bCs/>
          <w:color w:val="2E6DA4"/>
          <w:sz w:val="22"/>
          <w:szCs w:val="22"/>
        </w:rPr>
        <w:t xml:space="preserve">4.1 Maturation Strategy</w:t>
      </w:r>
    </w:p>
    <w:p>
      <w:pPr>
        <w:spacing w:before="60" w:after="60"/>
      </w:pPr>
      <w:r>
        <w:rPr>
          <w:rFonts w:ascii="Arial" w:cs="Arial" w:eastAsia="Arial" w:hAnsi="Arial"/>
          <w:sz w:val="20"/>
          <w:szCs w:val="20"/>
        </w:rPr>
        <w:t xml:space="preserve">Three parallel maturation libraries were designed, each targeting one of the identified hot-spot positions with defined chemical diversity:</w:t>
      </w:r>
    </w:p>
    <w:p>
      <w:pPr>
        <w:pStyle w:val="ListParagraph"/>
        <w:numPr>
          <w:ilvl w:val="0"/>
          <w:numId w:val="2"/>
        </w:numPr>
        <w:spacing w:before="40" w:after="40"/>
      </w:pPr>
      <w:r>
        <w:rPr>
          <w:rFonts w:ascii="Arial" w:cs="Arial" w:eastAsia="Arial" w:hAnsi="Arial"/>
          <w:sz w:val="20"/>
          <w:szCs w:val="20"/>
        </w:rPr>
        <w:t xml:space="preserve">Library M1 (H-CDR2 position 52): W52 diversified with amino acids that maintain aromaticity or introduce π-stacking/CH-π interactions: F, Y, W (WT), L, I, V (total 6 AA at position 52). Rationale: Phe retains hydrophobic contact but reduces steric strain and improves conformational flexibility in the CDR-H2 loop.</w:t>
      </w:r>
    </w:p>
    <w:p>
      <w:pPr>
        <w:pStyle w:val="ListParagraph"/>
        <w:numPr>
          <w:ilvl w:val="0"/>
          <w:numId w:val="2"/>
        </w:numPr>
        <w:spacing w:before="40" w:after="40"/>
      </w:pPr>
      <w:r>
        <w:rPr>
          <w:rFonts w:ascii="Arial" w:cs="Arial" w:eastAsia="Arial" w:hAnsi="Arial"/>
          <w:sz w:val="20"/>
          <w:szCs w:val="20"/>
        </w:rPr>
        <w:t xml:space="preserve">Library M2 (H-CDR3 position 98): Y98 diversified with charged residues to optimize salt bridge / H-bond with PD-1 Glu136: R, K, H, Q, E (total 5 AA). Rationale: Arg (positively charged guanidinium) forms stronger bidentate salt bridge with PD-1 Glu136 carboxylate than Tyr OH.</w:t>
      </w:r>
    </w:p>
    <w:p>
      <w:pPr>
        <w:pStyle w:val="ListParagraph"/>
        <w:numPr>
          <w:ilvl w:val="0"/>
          <w:numId w:val="2"/>
        </w:numPr>
        <w:spacing w:before="40" w:after="40"/>
      </w:pPr>
      <w:r>
        <w:rPr>
          <w:rFonts w:ascii="Arial" w:cs="Arial" w:eastAsia="Arial" w:hAnsi="Arial"/>
          <w:sz w:val="20"/>
          <w:szCs w:val="20"/>
        </w:rPr>
        <w:t xml:space="preserve">Library M3 (L-CDR1 position 27): S27 diversified with residues that expand water-mediated network: D, E, N, T, H (total 5 AA). Rationale: Asp carboxylate accepts additional H-bond donors and can form a direct H-bond to PD-1 Asn66, replacing the less-efficient water-mediated contact.</w:t>
      </w:r>
    </w:p>
    <w:p>
      <w:pPr>
        <w:spacing w:before="100" w:after="100"/>
      </w:pPr>
    </w:p>
    <w:p>
      <w:pPr>
        <w:pStyle w:val="Heading2"/>
        <w:spacing w:before="240" w:after="120"/>
      </w:pPr>
      <w:r>
        <w:rPr>
          <w:rFonts w:ascii="Arial" w:cs="Arial" w:eastAsia="Arial" w:hAnsi="Arial"/>
          <w:b/>
          <w:bCs/>
          <w:color w:val="2E6DA4"/>
          <w:sz w:val="22"/>
          <w:szCs w:val="22"/>
        </w:rPr>
        <w:t xml:space="preserve">4.2 Individual Mutation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1680"/>
        <w:gridCol w:w="1680"/>
        <w:gridCol w:w="1200"/>
      </w:tblGrid>
      <w:tr>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Mutation</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(nM)</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Fold improvement vs parental</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IC₅₀ PD-L1 (nM)</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Tm Fab (°C)</w:t>
            </w:r>
          </w:p>
        </w:tc>
        <w:tc>
          <w:tcPr>
            <w:tcW w:type="dxa" w:w="12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Advance</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Parental (WT)</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 (reference)</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68.4</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W52F (M1 lead)</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3.6× better</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72.1</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W52Y</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 better</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69.8</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W52L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0.9× (no improvement)</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13.2</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67.2</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Y98R (M2 lead)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9.5× better</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72.8</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Y98K</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5.4× better</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71.4</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Y98H</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2.7× better</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70.2</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S27D (M3 lead)</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Parental + W52F context: 0.8 → 0.42</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See combination</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S27E</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Parental + W52F context: 0.8 → 0.62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See combination</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r>
    </w:tbl>
    <w:p>
      <w:pPr>
        <w:spacing w:before="60" w:after="60"/>
      </w:pPr>
      <w:r>
        <w:rPr>
          <w:rFonts w:ascii="Arial" w:cs="Arial" w:eastAsia="Arial" w:hAnsi="Arial"/>
          <w:i/>
          <w:iCs/>
          <w:color w:val="555555"/>
          <w:sz w:val="18"/>
          <w:szCs w:val="18"/>
        </w:rPr>
        <w:t xml:space="preserve">Table 4.2 Individual mutation impact. Mutations tested in single-change context vs parental. S27D tested in combination context (see Table 4.3). The H-CDR3 Y98R mutation provides the largest single-mutation affinity improvement (9.5-fold), consistent with the enhanced electrostatic interaction with PD-1 Glu136.</w:t>
      </w:r>
    </w:p>
    <w:p>
      <w:pPr>
        <w:spacing w:before="100" w:after="100"/>
      </w:pPr>
    </w:p>
    <w:p>
      <w:pPr>
        <w:pStyle w:val="Heading2"/>
        <w:spacing w:before="240" w:after="120"/>
      </w:pPr>
      <w:r>
        <w:rPr>
          <w:rFonts w:ascii="Arial" w:cs="Arial" w:eastAsia="Arial" w:hAnsi="Arial"/>
          <w:b/>
          <w:bCs/>
          <w:color w:val="2E6DA4"/>
          <w:sz w:val="22"/>
          <w:szCs w:val="22"/>
        </w:rPr>
        <w:t xml:space="preserve">4.3 Combination Mutations — Cervimab Final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20"/>
        <w:gridCol w:w="1320"/>
        <w:gridCol w:w="1320"/>
        <w:gridCol w:w="1320"/>
        <w:gridCol w:w="1440"/>
      </w:tblGrid>
      <w:tr>
        <w:tc>
          <w:tcPr>
            <w:tcW w:type="dxa" w:w="26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Combination</w:t>
            </w:r>
          </w:p>
        </w:tc>
        <w:tc>
          <w:tcPr>
            <w:tcW w:type="dxa" w:w="13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(nM)</w:t>
            </w:r>
          </w:p>
        </w:tc>
        <w:tc>
          <w:tcPr>
            <w:tcW w:type="dxa" w:w="13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Fold vs parental</w:t>
            </w:r>
          </w:p>
        </w:tc>
        <w:tc>
          <w:tcPr>
            <w:tcW w:type="dxa" w:w="13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IC₅₀ (nM)</w:t>
            </w:r>
          </w:p>
        </w:tc>
        <w:tc>
          <w:tcPr>
            <w:tcW w:type="dxa" w:w="13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Tm Fab (°C)</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Monomer</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Parental (WT all CDRs)</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7.6</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68.4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94.2%</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W52F alone</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3.6×</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3.8</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72.1</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98.4%</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W52F + Y98R</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0.80</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9.5×</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73.6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98.8%</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 W52F + Y98R + S27D (Cervimab)</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0.42</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18.1×</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0.68</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74.2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99.1%</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 W52F + Y98R + S27E (comparator)</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0.62</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12.3×</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0.98</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73.8</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98.6%</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 W52F + Y98R + S27N (comparator)</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0.74</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10.3×</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1.18</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73.2</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98.8%</w:t>
            </w:r>
          </w:p>
        </w:tc>
      </w:tr>
    </w:tbl>
    <w:p>
      <w:pPr>
        <w:spacing w:before="60" w:after="60"/>
      </w:pPr>
      <w:r>
        <w:rPr>
          <w:rFonts w:ascii="Arial" w:cs="Arial" w:eastAsia="Arial" w:hAnsi="Arial"/>
          <w:i/>
          <w:iCs/>
          <w:color w:val="555555"/>
          <w:sz w:val="18"/>
          <w:szCs w:val="18"/>
        </w:rPr>
        <w:t xml:space="preserve">Table 4.3 Combinatorial optimization. Mutations are additive and independent (no epistatic effects). The triple mutant W52F + Y98R + S27D (Cervimab) achieves the optimal balance of affinity (0.42 nM), thermal stability (Tm 74.2°C), and colloidal stability (99.1% monomer). S27D was selected over S27E based on marginally superior affinity and equivalent stability.</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5. Structural Model of Cervimab–PD-1 Interface</w:t>
      </w:r>
    </w:p>
    <w:p>
      <w:pPr>
        <w:pStyle w:val="Heading2"/>
        <w:spacing w:before="240" w:after="120"/>
      </w:pPr>
      <w:r>
        <w:rPr>
          <w:rFonts w:ascii="Arial" w:cs="Arial" w:eastAsia="Arial" w:hAnsi="Arial"/>
          <w:b/>
          <w:bCs/>
          <w:color w:val="2E6DA4"/>
          <w:sz w:val="22"/>
          <w:szCs w:val="22"/>
        </w:rPr>
        <w:t xml:space="preserve">5.1 Homology Modeling</w:t>
      </w:r>
    </w:p>
    <w:p>
      <w:pPr>
        <w:spacing w:before="60" w:after="60"/>
      </w:pPr>
      <w:r>
        <w:rPr>
          <w:rFonts w:ascii="Arial" w:cs="Arial" w:eastAsia="Arial" w:hAnsi="Arial"/>
          <w:sz w:val="20"/>
          <w:szCs w:val="20"/>
        </w:rPr>
        <w:t xml:space="preserve">A structural model of the Cervimab Fab–PD-1 complex was generated using Rosetta (version 3.13) antibody homology modeling with the pembrolizumab–PD-1 complex (PDB 5B8C) as the primary template. CDR loops were modeled using the kinematic closure (KIC) algorithm with 500 independent energy minimization trajectories; the top 10 models by Rosetta energy score were selected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Contact (Cervimab → PD-1)</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ΔΔG contrib. (kcal/mol, est.)</w:t>
            </w:r>
          </w:p>
        </w:tc>
        <w:tc>
          <w:tcPr>
            <w:tcW w:type="dxa" w:w="360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Structural rationale</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 W52F → PD-1 Ile126/Leu128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Hydrophobic</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Phe packs into hydrophobic pocket; less steric clash vs Trp, higher complementarity (buried SA 180 Å²)</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H-CDR3 Y98R → PD-1 Glu136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Salt bridge (bidentate)</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Arg guanidinium forms 2 H-bonds to PD-1 Glu136 carboxylate; Tyr OH formed only 1 H-bond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L-CDR1 S27D → PD-1 Asn66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H-bond (direct)</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−0.8</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Asp carboxylate forms direct H-bond to Asn66 amide NH, replacing weaker water-mediated Ser-OH contact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H-CDR1 S30 → PD-1 Arg139</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H-bond (retained from parental)</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−0.9</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Unchanged from parental; Ser-OH to Arg139 guanidinium main-chain carbonyl H-bond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H-CDR2 S57 → PD-1 Gln133</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H-bond (retained)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−0.6</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Retained from parental; Ser-OH to Gln133 carbonyl</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Total interface ΔΔG (Cervimab)</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−6.5 (est.)</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Compared to parental ΔΔG −3.9 kcal/mol; net improvement −2.6 kcal/mol = ~18× Kd improvement (consistent with experiment)</w:t>
            </w:r>
          </w:p>
        </w:tc>
      </w:tr>
    </w:tbl>
    <w:p>
      <w:pPr>
        <w:spacing w:before="60" w:after="60"/>
      </w:pPr>
      <w:r>
        <w:rPr>
          <w:rFonts w:ascii="Arial" w:cs="Arial" w:eastAsia="Arial" w:hAnsi="Arial"/>
          <w:i/>
          <w:iCs/>
          <w:color w:val="555555"/>
          <w:sz w:val="18"/>
          <w:szCs w:val="18"/>
        </w:rPr>
        <w:t xml:space="preserve">Table 5.1 Key binding contacts in Cervimab–PD-1 homology model. ΔΔG estimates by Rosetta ΔΔG protocol (Kellogg et al. Proteins 2011). PD-1 contact residues annotated per published crystal structures (PDB 5B8C pembrolizumab; PMC9667898 D12 anti-PD-1 phage antibody). Buried surface area ~1,180 Å² (Cervimab) vs ~1,137 Å² (pembrolizumab by crystal structure).</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6. Sequence and Molecular Characteristics of Final Cervimab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62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Cervimab (MOS-PD1-047 Final)</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Heavy chain isotype</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Human IgG4 (S228P stabilization)</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Light chain isotype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Human kappa</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CDR-H1 (IMGT)</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GFTFSSY (unchanged from parental)</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CDR-H2 (IMGT) — matured</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ISSGFST (W52→F mutation: W52F)</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CDR-H3 (IMGT) — matured</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ARGGYDILTYRDY (Y98→R mutation: Y98R)</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CDR-L1 (IMGT) — matured</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QSVDSY (S27→D mutation: S27D)</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CDR-L2 (IMGT)</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DAS (unchanged)</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CDR-L3 (IMGT)</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QQRSNWPLT (unchanged)</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Fc mutations</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S228P (EU numbering) — prevents Fab-arm exchange (IgG4 instability)</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Calculated molecular weight</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144,284 Da (predicted from sequence)</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Isoelectric point (pI)</w:t>
            </w:r>
          </w:p>
        </w:tc>
        <w:tc>
          <w:tcPr>
            <w:tcW w:type="dxa" w:w="62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8.6 (by capillary IEF)</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N-glycosylation sites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Asn297 (Fc, Asn-linked; complex glycan); no Fab glycosylation</w:t>
            </w:r>
          </w:p>
        </w:tc>
      </w:tr>
    </w:tbl>
    <w:p>
      <w:pPr>
        <w:spacing w:before="60" w:after="60"/>
      </w:pPr>
      <w:r>
        <w:rPr>
          <w:rFonts w:ascii="Arial" w:cs="Arial" w:eastAsia="Arial" w:hAnsi="Arial"/>
          <w:i/>
          <w:iCs/>
          <w:color w:val="555555"/>
          <w:sz w:val="18"/>
          <w:szCs w:val="18"/>
        </w:rPr>
        <w:t xml:space="preserve">Table 6.1 Final Cervimab sequence and molecular characteristics. CDR sequences in IMGT numbering (Lefranc et al.). S228P is the standard IgG4 stabilization mutation used in all approved IgG4 therapeutics (pembrolizumab, dupilumab, etc.) to prevent half-antibody formation by disulfide bond stabilization of the hinge.</w:t>
      </w:r>
    </w:p>
    <w:p>
      <w:pPr>
        <w:spacing w:before="100" w:after="100"/>
      </w:pPr>
    </w:p>
    <w:p>
      <w:pPr>
        <w:spacing w:before="60" w:after="60"/>
      </w:pPr>
      <w:r>
        <w:rPr>
          <w:rFonts w:ascii="Arial" w:cs="Arial" w:eastAsia="Arial" w:hAnsi="Arial"/>
          <w:i/>
          <w:iCs/>
          <w:color w:val="555555"/>
          <w:sz w:val="18"/>
          <w:szCs w:val="18"/>
        </w:rPr>
        <w:t xml:space="preserve">Prepared by: Antibody Engineering &amp; Structural Biology Group, Meridian Oncology Sciences | Document: MOS-SAR-2021-003 v2.2 | References: PDB 5B8C, PMC9667898, Nat Commun 2019 (s42003-019-0642-9)</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MOS-SAR-2021-003 v2.2  |  Page </w:t>
    </w:r>
    <w:pgNum/>
    <w:r>
      <w:rPr>
        <w:rFonts w:ascii="Arial" w:cs="Arial" w:eastAsia="Arial" w:hAnsi="Arial"/>
        <w:color w:val="888888"/>
        <w:sz w:val="16"/>
        <w:szCs w:val="16"/>
      </w:rPr>
      <w:t xml:space="preserve">  |  Cervimab Preclinical Program  |  © 2023 Meridian Oncology Sciences,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Structure-Activity Relationship Report</w:t>
    </w:r>
    <w:r>
      <w:rPr>
        <w:rFonts w:ascii="Arial" w:cs="Arial" w:eastAsia="Arial" w:hAnsi="Arial"/>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2026-03-15T17:47:23.184Z</dcterms:created>
  <dcterms:modified xsi:type="dcterms:W3CDTF">2026-03-15T17:47:23.184Z</dcterms:modified>
</cp:coreProperties>
</file>

<file path=docProps/custom.xml><?xml version="1.0" encoding="utf-8"?>
<Properties xmlns="http://schemas.openxmlformats.org/officeDocument/2006/custom-properties" xmlns:vt="http://schemas.openxmlformats.org/officeDocument/2006/docPropsVTypes"/>
</file>