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Arial" w:cs="Arial" w:eastAsia="Arial" w:hAnsi="Arial"/>
          <w:b/>
          <w:bCs/>
          <w:color w:val="1A3A5C"/>
          <w:sz w:val="28"/>
          <w:szCs w:val="28"/>
        </w:rPr>
        <w:t xml:space="preserve">MERIDIAN ONCOLOGY SCIENCES, INC.</w:t>
      </w:r>
    </w:p>
    <w:p>
      <w:pPr>
        <w:spacing w:before="0" w:after="60"/>
        <w:jc w:val="center"/>
      </w:pPr>
      <w:r>
        <w:rPr>
          <w:rFonts w:ascii="Arial" w:cs="Arial" w:eastAsia="Arial" w:hAnsi="Arial"/>
          <w:color w:val="555555"/>
          <w:sz w:val="20"/>
          <w:szCs w:val="20"/>
        </w:rPr>
        <w:t xml:space="preserve">Discovery &amp; Preclinical Research Division</w:t>
      </w:r>
    </w:p>
    <w:p>
      <w:pPr>
        <w:spacing w:before="100" w:after="100"/>
      </w:pPr>
    </w:p>
    <w:p>
      <w:pPr>
        <w:pBdr>
          <w:top w:val="single" w:color="1A3A5C" w:sz="8" w:space="8"/>
          <w:bottom w:val="single" w:color="1A3A5C" w:sz="8" w:space="8"/>
        </w:pBdr>
        <w:spacing w:before="400" w:after="200"/>
        <w:jc w:val="center"/>
      </w:pPr>
      <w:r>
        <w:rPr>
          <w:rFonts w:ascii="Arial" w:cs="Arial" w:eastAsia="Arial" w:hAnsi="Arial"/>
          <w:b/>
          <w:bCs/>
          <w:color w:val="1A3A5C"/>
          <w:sz w:val="36"/>
          <w:szCs w:val="36"/>
        </w:rPr>
        <w:t xml:space="preserve">In Vitro Assay Results Report</w:t>
      </w:r>
    </w:p>
    <w:p>
      <w:pPr>
        <w:spacing w:before="120" w:after="400"/>
        <w:jc w:val="center"/>
      </w:pPr>
      <w:r>
        <w:rPr>
          <w:rFonts w:ascii="Arial" w:cs="Arial" w:eastAsia="Arial" w:hAnsi="Arial"/>
          <w:i/>
          <w:iCs/>
          <w:color w:val="444444"/>
          <w:sz w:val="24"/>
          <w:szCs w:val="24"/>
        </w:rPr>
        <w:t xml:space="preserve">Cervimab Pharmacological Activity: Validated In Vitro Assay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Document Number:</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MOS-IVA-2022-005</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Version:</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v2.5</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Date:</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2022-06-15</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Program:</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Cervimab (MOS-PD1-047) | Anti-PD-1 mAb | IND 135-892</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Indication:</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dMMR/MSI-H Metastatic Colorectal Cancer</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Classification:</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CONFIDENTIAL — IND Supporting Data (21 CFR 312.23)</w:t>
            </w:r>
          </w:p>
        </w:tc>
      </w:tr>
    </w:tbl>
    <w:p>
      <w:pPr>
        <w:spacing w:before="100" w:after="100"/>
      </w:pPr>
    </w:p>
    <w:p>
      <w:pPr>
        <w:spacing w:before="60" w:after="60"/>
      </w:pPr>
      <w:r>
        <w:rPr>
          <w:rFonts w:ascii="Arial" w:cs="Arial" w:eastAsia="Arial" w:hAnsi="Arial"/>
          <w:i/>
          <w:iCs/>
          <w:color w:val="555555"/>
          <w:sz w:val="18"/>
          <w:szCs w:val="18"/>
        </w:rPr>
        <w:t xml:space="preserve">This document contains confidential and proprietary information of Meridian Oncology Sciences, Inc. Prepared in accordance with 21 CFR 312.23(a)(8), ICH S9, and applicable FDA guidance documents.</w:t>
      </w:r>
    </w:p>
    <w:p>
      <w:r>
        <w:br w:type="page"/>
      </w:r>
    </w:p>
    <w:p>
      <w:pPr>
        <w:pStyle w:val="Heading1"/>
        <w:pBdr>
          <w:bottom w:val="single" w:color="2E6DA4" w:sz="6" w:space="1"/>
        </w:pBdr>
        <w:spacing w:before="320" w:after="160"/>
      </w:pPr>
      <w:r>
        <w:rPr>
          <w:rFonts w:ascii="Arial" w:cs="Arial" w:eastAsia="Arial" w:hAnsi="Arial"/>
          <w:b/>
          <w:bCs/>
          <w:color w:val="1A3A5C"/>
          <w:sz w:val="28"/>
          <w:szCs w:val="28"/>
        </w:rPr>
        <w:t xml:space="preserve">1. Introduction and Regulatory Context</w:t>
      </w:r>
    </w:p>
    <w:p>
      <w:pPr>
        <w:spacing w:before="60" w:after="60"/>
      </w:pPr>
      <w:r>
        <w:rPr>
          <w:rFonts w:ascii="Arial" w:cs="Arial" w:eastAsia="Arial" w:hAnsi="Arial"/>
          <w:sz w:val="20"/>
          <w:szCs w:val="20"/>
        </w:rPr>
        <w:t xml:space="preserve">This report presents the complete in vitro assay results package for Cervimab (MOS-PD1-047), compiled in support of IND 135-892 (21 CFR 312.23(a)(8) pharmacology and toxicology information). All assays were conducted under qualified (not GLP unless specified) conditions with appropriate controls, in compliance with the ICH M10 Bioanalytical Method Validation framework (fit-for-purpose) and 21 CFR Part 11 electronic records requirements.</w:t>
      </w:r>
    </w:p>
    <w:p>
      <w:pPr>
        <w:spacing w:before="60" w:after="60"/>
      </w:pPr>
      <w:r>
        <w:rPr>
          <w:rFonts w:ascii="Arial" w:cs="Arial" w:eastAsia="Arial" w:hAnsi="Arial"/>
          <w:sz w:val="20"/>
          <w:szCs w:val="20"/>
        </w:rPr>
        <w:t xml:space="preserve">The assay battery encompasses: (1) Surface plasmon resonance (SPR) binding kinetics, (2) AlphaLISA competitive binding, (3) Flow cytometry receptor occupancy on primary human T cells and cell lines, (4) Mixed lymphocyte reaction (MLR) functional assays, (5) Tumor cell co-culture cytotoxicity, (6) Antibody-dependent cellular cytotoxicity (ADCC) and complement-dependent cytotoxicity (CDC) Fc effector assays, (7) Tissue cross-reactivity by IHC, and (8) In vitro immunogenicity risk screening.</w:t>
      </w:r>
    </w:p>
    <w:p>
      <w:pPr>
        <w:spacing w:before="100" w:after="100"/>
      </w:pPr>
    </w:p>
    <w:p>
      <w:pPr>
        <w:pStyle w:val="Heading1"/>
        <w:pBdr>
          <w:bottom w:val="single" w:color="2E6DA4" w:sz="6" w:space="1"/>
        </w:pBdr>
        <w:spacing w:before="320" w:after="160"/>
      </w:pPr>
      <w:r>
        <w:rPr>
          <w:rFonts w:ascii="Arial" w:cs="Arial" w:eastAsia="Arial" w:hAnsi="Arial"/>
          <w:b/>
          <w:bCs/>
          <w:color w:val="1A3A5C"/>
          <w:sz w:val="28"/>
          <w:szCs w:val="28"/>
        </w:rPr>
        <w:t xml:space="preserve">2. Assay Qualification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1440"/>
        <w:gridCol w:w="1440"/>
        <w:gridCol w:w="2640"/>
      </w:tblGrid>
      <w:tr>
        <w:tc>
          <w:tcPr>
            <w:tcW w:type="dxa" w:w="240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Assay</w:t>
            </w:r>
          </w:p>
        </w:tc>
        <w:tc>
          <w:tcPr>
            <w:tcW w:type="dxa" w:w="144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Z-factor</w:t>
            </w:r>
          </w:p>
        </w:tc>
        <w:tc>
          <w:tcPr>
            <w:tcW w:type="dxa" w:w="144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CV% QC</w:t>
            </w:r>
          </w:p>
        </w:tc>
        <w:tc>
          <w:tcPr>
            <w:tcW w:type="dxa" w:w="144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S/B ratio</w:t>
            </w:r>
          </w:p>
        </w:tc>
        <w:tc>
          <w:tcPr>
            <w:tcW w:type="dxa" w:w="264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Compliance status</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SPR (Biacore T200)</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N/A (kinetic)</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8.2%</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N/A</w:t>
            </w:r>
          </w:p>
        </w:tc>
        <w:tc>
          <w:tcPr>
            <w:tcW w:type="dxa" w:w="26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ICH M10 Tier 2 validated; Biacore calibration verified</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AlphaLISA competition</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0.72 ± 0.04</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6.8%</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12.4</w:t>
            </w:r>
          </w:p>
        </w:tc>
        <w:tc>
          <w:tcPr>
            <w:tcW w:type="dxa" w:w="26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Qualified (Z&gt;0.5); 21 CFR Part 11 compliant ELN</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HTRF competition</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0.68 ± 0.06</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7.4%</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9.8</w:t>
            </w:r>
          </w:p>
        </w:tc>
        <w:tc>
          <w:tcPr>
            <w:tcW w:type="dxa" w:w="26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Qualified (Z&gt;0.5); corroborates AlphaLISA</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Flow cytometry RO assay</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N/A</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9.6%</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N/A</w:t>
            </w:r>
          </w:p>
        </w:tc>
        <w:tc>
          <w:tcPr>
            <w:tcW w:type="dxa" w:w="26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Qualified; instrument QC beads daily; compensation controls each run</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MLR (IFN-γ ELISA)</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N/A (cell-based)</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12.4%</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6.2 (max stimulation)</w:t>
            </w:r>
          </w:p>
        </w:tc>
        <w:tc>
          <w:tcPr>
            <w:tcW w:type="dxa" w:w="26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Qualified; pembrolizumab reference control each plate</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LDH cytotoxicity</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0.74 ± 0.08</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8.8%</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8.4</w:t>
            </w:r>
          </w:p>
        </w:tc>
        <w:tc>
          <w:tcPr>
            <w:tcW w:type="dxa" w:w="26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Qualified; maximum lysis control (Triton X-100) each run</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ADCC reporter (Jurkat-NFAT-luc)</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0.76 ± 0.06</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7.2%</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18.4</w:t>
            </w:r>
          </w:p>
        </w:tc>
        <w:tc>
          <w:tcPr>
            <w:tcW w:type="dxa" w:w="26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Qualified; trastuzumab reference control each run</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CDC (complement lysis)</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0.68 ± 0.08</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11.2%</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6.4</w:t>
            </w:r>
          </w:p>
        </w:tc>
        <w:tc>
          <w:tcPr>
            <w:tcW w:type="dxa" w:w="26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Qualified; rituximab reference included each run</w:t>
            </w:r>
          </w:p>
        </w:tc>
      </w:tr>
    </w:tbl>
    <w:p>
      <w:pPr>
        <w:spacing w:before="60" w:after="60"/>
      </w:pPr>
      <w:r>
        <w:rPr>
          <w:rFonts w:ascii="Arial" w:cs="Arial" w:eastAsia="Arial" w:hAnsi="Arial"/>
          <w:i/>
          <w:iCs/>
          <w:color w:val="555555"/>
          <w:sz w:val="18"/>
          <w:szCs w:val="18"/>
        </w:rPr>
        <w:t xml:space="preserve">Table 2.1 Assay qualification summary. Z-factor &gt; 0.5 across all applicable assays. CV% reported for positive control samples across ≥6 independent runs. S/B = signal-to-background. N/A = assay format does not use Z-factor or S/B as primary quality metric.</w:t>
      </w:r>
    </w:p>
    <w:p>
      <w:pPr>
        <w:spacing w:before="100" w:after="100"/>
      </w:pPr>
    </w:p>
    <w:p>
      <w:pPr>
        <w:pStyle w:val="Heading1"/>
        <w:pBdr>
          <w:bottom w:val="single" w:color="2E6DA4" w:sz="6" w:space="1"/>
        </w:pBdr>
        <w:spacing w:before="320" w:after="160"/>
      </w:pPr>
      <w:r>
        <w:rPr>
          <w:rFonts w:ascii="Arial" w:cs="Arial" w:eastAsia="Arial" w:hAnsi="Arial"/>
          <w:b/>
          <w:bCs/>
          <w:color w:val="1A3A5C"/>
          <w:sz w:val="28"/>
          <w:szCs w:val="28"/>
        </w:rPr>
        <w:t xml:space="preserve">3. SPR Binding Kinetics — Full Characterization</w:t>
      </w:r>
    </w:p>
    <w:p>
      <w:pPr>
        <w:pStyle w:val="Heading2"/>
        <w:spacing w:before="240" w:after="120"/>
      </w:pPr>
      <w:r>
        <w:rPr>
          <w:rFonts w:ascii="Arial" w:cs="Arial" w:eastAsia="Arial" w:hAnsi="Arial"/>
          <w:b/>
          <w:bCs/>
          <w:color w:val="2E6DA4"/>
          <w:sz w:val="22"/>
          <w:szCs w:val="22"/>
        </w:rPr>
        <w:t xml:space="preserve">3.1 Human PD-1 Binding: Multi-Cycle Kinetics</w:t>
      </w:r>
    </w:p>
    <w:p>
      <w:pPr>
        <w:spacing w:before="60" w:after="60"/>
      </w:pPr>
      <w:r>
        <w:rPr>
          <w:rFonts w:ascii="Arial" w:cs="Arial" w:eastAsia="Arial" w:hAnsi="Arial"/>
          <w:sz w:val="20"/>
          <w:szCs w:val="20"/>
        </w:rPr>
        <w:t xml:space="preserve">Full kinetic characterization of Cervimab binding to recombinant human PD-1-ECD (Acro Biosystems PD1-H52H3; lot #PD1-2021-04) was performed by multi-cycle kinetics (MCK) on Biacore T200. PD-1 captured on Series S CM5 chips via anti-His antibody (Cytiva Cat. 28995056; ~200 RU capture). Association 120s; dissociation 900s. Regeneration: 10 mM Glycine pH 1.7, 30s ×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440"/>
        <w:gridCol w:w="1440"/>
        <w:gridCol w:w="1440"/>
        <w:gridCol w:w="1440"/>
        <w:gridCol w:w="1440"/>
        <w:gridCol w:w="840"/>
      </w:tblGrid>
      <w:tr>
        <w:tc>
          <w:tcPr>
            <w:tcW w:type="dxa" w:w="168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Concentration (nM)</w:t>
            </w:r>
          </w:p>
        </w:tc>
        <w:tc>
          <w:tcPr>
            <w:tcW w:type="dxa" w:w="144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Rmax (RU)</w:t>
            </w:r>
          </w:p>
        </w:tc>
        <w:tc>
          <w:tcPr>
            <w:tcW w:type="dxa" w:w="144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kon (M⁻¹s⁻¹)</w:t>
            </w:r>
          </w:p>
        </w:tc>
        <w:tc>
          <w:tcPr>
            <w:tcW w:type="dxa" w:w="144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koff (s⁻¹)</w:t>
            </w:r>
          </w:p>
        </w:tc>
        <w:tc>
          <w:tcPr>
            <w:tcW w:type="dxa" w:w="144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KD (nM)</w:t>
            </w:r>
          </w:p>
        </w:tc>
        <w:tc>
          <w:tcPr>
            <w:tcW w:type="dxa" w:w="144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Chi² (RU²)</w:t>
            </w:r>
          </w:p>
        </w:tc>
        <w:tc>
          <w:tcPr>
            <w:tcW w:type="dxa" w:w="84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Fit</w:t>
            </w:r>
          </w:p>
        </w:tc>
      </w:tr>
      <w:tr>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0.156</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18.2</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4.82 × 10⁵</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2.02 × 10⁻⁴</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0.42</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0.12</w:t>
            </w:r>
          </w:p>
        </w:tc>
        <w:tc>
          <w:tcPr>
            <w:tcW w:type="dxa" w:w="8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Good</w:t>
            </w:r>
          </w:p>
        </w:tc>
      </w:tr>
      <w:tr>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0.313</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29.4</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4.78 × 10⁵</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2.01 × 10⁻⁴</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0.42</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0.14</w:t>
            </w:r>
          </w:p>
        </w:tc>
        <w:tc>
          <w:tcPr>
            <w:tcW w:type="dxa" w:w="8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Good</w:t>
            </w:r>
          </w:p>
        </w:tc>
      </w:tr>
      <w:tr>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0.625</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46.8</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4.84 × 10⁵</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2.03 × 10⁻⁴</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0.42</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0.16</w:t>
            </w:r>
          </w:p>
        </w:tc>
        <w:tc>
          <w:tcPr>
            <w:tcW w:type="dxa" w:w="8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Good</w:t>
            </w:r>
          </w:p>
        </w:tc>
      </w:tr>
      <w:tr>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1.25</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72.4</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4.79 × 10⁵</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1.99 × 10⁻⁴</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0.42</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0.18</w:t>
            </w:r>
          </w:p>
        </w:tc>
        <w:tc>
          <w:tcPr>
            <w:tcW w:type="dxa" w:w="8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Good</w:t>
            </w:r>
          </w:p>
        </w:tc>
      </w:tr>
      <w:tr>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2.5</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98.6</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4.81 × 10⁵</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2.00 × 10⁻⁴</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0.42</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0.21</w:t>
            </w:r>
          </w:p>
        </w:tc>
        <w:tc>
          <w:tcPr>
            <w:tcW w:type="dxa" w:w="8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Good</w:t>
            </w:r>
          </w:p>
        </w:tc>
      </w:tr>
      <w:tr>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5.0</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118.4</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4.83 × 10⁵</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2.02 × 10⁻⁴</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0.42</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0.19</w:t>
            </w:r>
          </w:p>
        </w:tc>
        <w:tc>
          <w:tcPr>
            <w:tcW w:type="dxa" w:w="8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Good</w:t>
            </w:r>
          </w:p>
        </w:tc>
      </w:tr>
      <w:tr>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Mean ± SD</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4.81 ± 0.03 × 10⁵</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2.01 ± 0.02 × 10⁻⁴</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0.42 ± 0.002</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0.17 ± 0.03</w:t>
            </w:r>
          </w:p>
        </w:tc>
        <w:tc>
          <w:tcPr>
            <w:tcW w:type="dxa" w:w="8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w:t>
            </w:r>
          </w:p>
        </w:tc>
      </w:tr>
    </w:tbl>
    <w:p>
      <w:pPr>
        <w:spacing w:before="60" w:after="60"/>
      </w:pPr>
      <w:r>
        <w:rPr>
          <w:rFonts w:ascii="Arial" w:cs="Arial" w:eastAsia="Arial" w:hAnsi="Arial"/>
          <w:i/>
          <w:iCs/>
          <w:color w:val="555555"/>
          <w:sz w:val="18"/>
          <w:szCs w:val="18"/>
        </w:rPr>
        <w:t xml:space="preserve">Table 3.1 Multi-cycle kinetics: Cervimab / human PD-1. 1:1 Langmuir binding model fit (χ² &lt;1 RU² for all concentrations). Highly consistent KD across all concentrations (CV &lt;1%) confirms simple 1:1 stoichiometry with no evidence of heterogeneous binding or rebinding artifacts. t½ off = ln(2)/koff = 57.5 min — exceptionally slow off-rate supports sustained receptor occupancy.</w:t>
      </w:r>
    </w:p>
    <w:p>
      <w:pPr>
        <w:spacing w:before="100" w:after="100"/>
      </w:pPr>
    </w:p>
    <w:p>
      <w:pPr>
        <w:pStyle w:val="Heading1"/>
        <w:pBdr>
          <w:bottom w:val="single" w:color="2E6DA4" w:sz="6" w:space="1"/>
        </w:pBdr>
        <w:spacing w:before="320" w:after="160"/>
      </w:pPr>
      <w:r>
        <w:rPr>
          <w:rFonts w:ascii="Arial" w:cs="Arial" w:eastAsia="Arial" w:hAnsi="Arial"/>
          <w:b/>
          <w:bCs/>
          <w:color w:val="1A3A5C"/>
          <w:sz w:val="28"/>
          <w:szCs w:val="28"/>
        </w:rPr>
        <w:t xml:space="preserve">4. Flow Cytometry Receptor Occupancy Assay</w:t>
      </w:r>
    </w:p>
    <w:p>
      <w:pPr>
        <w:pStyle w:val="Heading2"/>
        <w:spacing w:before="240" w:after="120"/>
      </w:pPr>
      <w:r>
        <w:rPr>
          <w:rFonts w:ascii="Arial" w:cs="Arial" w:eastAsia="Arial" w:hAnsi="Arial"/>
          <w:b/>
          <w:bCs/>
          <w:color w:val="2E6DA4"/>
          <w:sz w:val="22"/>
          <w:szCs w:val="22"/>
        </w:rPr>
        <w:t xml:space="preserve">4.1 Assay Protocol and Qualification</w:t>
      </w:r>
    </w:p>
    <w:p>
      <w:pPr>
        <w:spacing w:before="60" w:after="60"/>
      </w:pPr>
      <w:r>
        <w:rPr>
          <w:rFonts w:ascii="Arial" w:cs="Arial" w:eastAsia="Arial" w:hAnsi="Arial"/>
          <w:sz w:val="20"/>
          <w:szCs w:val="20"/>
        </w:rPr>
        <w:t xml:space="preserve">Receptor occupancy (RO) was measured by a competitive saturation binding assay. Principle: primary human PBMCs (buffy coat; CD8+ T cells activated 72h with anti-CD3/CD28 beads + IL-2 100 U/mL to maximize PD-1 expression) incubated with cervimab (0.001–1000 nM, 1h 37°C), then washed and stained with a non-competing, site-labeled PE-anti-PD-1 detection antibody (clone EH12.2H7; epitope distinct from cervimab paratope, validated by competition SPR). Reduction in PE signal = 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2640"/>
      </w:tblGrid>
      <w:tr>
        <w:tc>
          <w:tcPr>
            <w:tcW w:type="dxa" w:w="168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Cervimab (nM)</w:t>
            </w:r>
          </w:p>
        </w:tc>
        <w:tc>
          <w:tcPr>
            <w:tcW w:type="dxa" w:w="168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 RO on CD8+</w:t>
            </w:r>
          </w:p>
        </w:tc>
        <w:tc>
          <w:tcPr>
            <w:tcW w:type="dxa" w:w="168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 RO on CD4+</w:t>
            </w:r>
          </w:p>
        </w:tc>
        <w:tc>
          <w:tcPr>
            <w:tcW w:type="dxa" w:w="168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CD8+ PD-1 MFI (det. Ab)</w:t>
            </w:r>
          </w:p>
        </w:tc>
        <w:tc>
          <w:tcPr>
            <w:tcW w:type="dxa" w:w="264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Derived PD/efficacy correlation</w:t>
            </w:r>
          </w:p>
        </w:tc>
      </w:tr>
      <w:tr>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0 (vehicle)</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0%</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0%</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4,842 ± 284</w:t>
            </w:r>
          </w:p>
        </w:tc>
        <w:tc>
          <w:tcPr>
            <w:tcW w:type="dxa" w:w="26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Baseline — no cervimab</w:t>
            </w:r>
          </w:p>
        </w:tc>
      </w:tr>
      <w:tr>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0.01</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5% ± 1.8</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3% ± 1.4</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4,598 ± 262</w:t>
            </w:r>
          </w:p>
        </w:tc>
        <w:tc>
          <w:tcPr>
            <w:tcW w:type="dxa" w:w="26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Sub-threshold RO; no functional signal</w:t>
            </w:r>
          </w:p>
        </w:tc>
      </w:tr>
      <w:tr>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0.1</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18% ± 3.2</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12% ± 2.8</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3,970 ± 228</w:t>
            </w:r>
          </w:p>
        </w:tc>
        <w:tc>
          <w:tcPr>
            <w:tcW w:type="dxa" w:w="26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First detectable IFN-γ increase (~1.4-fold)</w:t>
            </w:r>
          </w:p>
        </w:tc>
      </w:tr>
      <w:tr>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0.5</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48% ± 5.4</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38% ± 4.8</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2,516 ± 148</w:t>
            </w:r>
          </w:p>
        </w:tc>
        <w:tc>
          <w:tcPr>
            <w:tcW w:type="dxa" w:w="26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Approach functional EC₅₀ (~40% RO)</w:t>
            </w:r>
          </w:p>
        </w:tc>
      </w:tr>
      <w:tr>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1.0 (est. EC₅₀ RO)</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64% ± 6.2</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54% ± 5.6</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1,742 ± 122</w:t>
            </w:r>
          </w:p>
        </w:tc>
        <w:tc>
          <w:tcPr>
            <w:tcW w:type="dxa" w:w="26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~60% RO correlates with near-maximal functional response</w:t>
            </w:r>
          </w:p>
        </w:tc>
      </w:tr>
      <w:tr>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5.0</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88% ± 4.8</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78% ± 5.2</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582 ± 48</w:t>
            </w:r>
          </w:p>
        </w:tc>
        <w:tc>
          <w:tcPr>
            <w:tcW w:type="dxa" w:w="26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Near-saturation; functional plateau reached</w:t>
            </w:r>
          </w:p>
        </w:tc>
      </w:tr>
      <w:tr>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10.0</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95% ± 3.2</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88% ± 4.1</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242 ± 28</w:t>
            </w:r>
          </w:p>
        </w:tc>
        <w:tc>
          <w:tcPr>
            <w:tcW w:type="dxa" w:w="26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Saturation; consistent with KD (EC₅₀ RO ≈ KD in cell-based assay)</w:t>
            </w:r>
          </w:p>
        </w:tc>
      </w:tr>
      <w:tr>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100.0</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98% ± 2.1</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94% ± 2.8</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97 ± 14</w:t>
            </w:r>
          </w:p>
        </w:tc>
        <w:tc>
          <w:tcPr>
            <w:tcW w:type="dxa" w:w="26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Complete occupancy</w:t>
            </w:r>
          </w:p>
        </w:tc>
      </w:tr>
    </w:tbl>
    <w:p>
      <w:pPr>
        <w:spacing w:before="60" w:after="60"/>
      </w:pPr>
      <w:r>
        <w:rPr>
          <w:rFonts w:ascii="Arial" w:cs="Arial" w:eastAsia="Arial" w:hAnsi="Arial"/>
          <w:i/>
          <w:iCs/>
          <w:color w:val="555555"/>
          <w:sz w:val="18"/>
          <w:szCs w:val="18"/>
        </w:rPr>
        <w:t xml:space="preserve">Table 4.1 Receptor occupancy dose-response. EC₅₀ for RO saturation ≈ 1.0 nM (cell-based; accounts for receptor density and membrane environment). This is approximately 2.4-fold higher than the SPR KD (0.42 nM), consistent with avidity effects and membrane-embedded target. MABEL = dose achieving ~20–30% RO = ~0.1–0.15 nM in vitro; translates to ~0.8 mg/kg IV estimated starting dose in cynomolgus monkey (allometric scaling).</w:t>
      </w:r>
    </w:p>
    <w:p>
      <w:pPr>
        <w:spacing w:before="100" w:after="100"/>
      </w:pPr>
    </w:p>
    <w:p>
      <w:pPr>
        <w:pStyle w:val="Heading1"/>
        <w:pBdr>
          <w:bottom w:val="single" w:color="2E6DA4" w:sz="6" w:space="1"/>
        </w:pBdr>
        <w:spacing w:before="320" w:after="160"/>
      </w:pPr>
      <w:r>
        <w:rPr>
          <w:rFonts w:ascii="Arial" w:cs="Arial" w:eastAsia="Arial" w:hAnsi="Arial"/>
          <w:b/>
          <w:bCs/>
          <w:color w:val="1A3A5C"/>
          <w:sz w:val="28"/>
          <w:szCs w:val="28"/>
        </w:rPr>
        <w:t xml:space="preserve">5. MLR Functional Assay: Full Dose-Response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gridCol w:w="1440"/>
        <w:gridCol w:w="1080"/>
      </w:tblGrid>
      <w:tr>
        <w:tc>
          <w:tcPr>
            <w:tcW w:type="dxa" w:w="144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Cervimab (µg/mL)</w:t>
            </w:r>
          </w:p>
        </w:tc>
        <w:tc>
          <w:tcPr>
            <w:tcW w:type="dxa" w:w="144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IFN-γ (pg/mL)</w:t>
            </w:r>
          </w:p>
        </w:tc>
        <w:tc>
          <w:tcPr>
            <w:tcW w:type="dxa" w:w="144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IL-2 (pg/mL)</w:t>
            </w:r>
          </w:p>
        </w:tc>
        <w:tc>
          <w:tcPr>
            <w:tcW w:type="dxa" w:w="144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IL-10 (pg/mL)</w:t>
            </w:r>
          </w:p>
        </w:tc>
        <w:tc>
          <w:tcPr>
            <w:tcW w:type="dxa" w:w="144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TNF-α (pg/mL)</w:t>
            </w:r>
          </w:p>
        </w:tc>
        <w:tc>
          <w:tcPr>
            <w:tcW w:type="dxa" w:w="144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CD8+ Ki67+</w:t>
            </w:r>
          </w:p>
        </w:tc>
        <w:tc>
          <w:tcPr>
            <w:tcW w:type="dxa" w:w="108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CD8+ GzmB+</w:t>
            </w:r>
          </w:p>
        </w:tc>
      </w:tr>
      <w:tr>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0 (isotype)</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184 ± 28</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62 ± 14</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84 ± 18</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124 ± 22</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8.4% ± 1.2</w:t>
            </w:r>
          </w:p>
        </w:tc>
        <w:tc>
          <w:tcPr>
            <w:tcW w:type="dxa" w:w="10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12.4%</w:t>
            </w:r>
          </w:p>
        </w:tc>
      </w:tr>
      <w:tr>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0.001</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196 ± 30</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66 ± 14</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86 ± 18</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128 ± 24</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8.8% ± 1.4</w:t>
            </w:r>
          </w:p>
        </w:tc>
        <w:tc>
          <w:tcPr>
            <w:tcW w:type="dxa" w:w="10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12.8%</w:t>
            </w:r>
          </w:p>
        </w:tc>
      </w:tr>
      <w:tr>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0.01</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228 ± 34</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74 ± 16</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90 ± 20</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148 ± 26</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10.2% ± 1.6</w:t>
            </w:r>
          </w:p>
        </w:tc>
        <w:tc>
          <w:tcPr>
            <w:tcW w:type="dxa" w:w="10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14.4%</w:t>
            </w:r>
          </w:p>
        </w:tc>
      </w:tr>
      <w:tr>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0.1</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286 ± 42</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88 ± 18</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96 ± 20</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182 ± 32</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12.8% ± 1.8</w:t>
            </w:r>
          </w:p>
        </w:tc>
        <w:tc>
          <w:tcPr>
            <w:tcW w:type="dxa" w:w="10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17.2%</w:t>
            </w:r>
          </w:p>
        </w:tc>
      </w:tr>
      <w:tr>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1.0 (~EC₅₀)</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482 ± 68</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142 ± 28</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108 ± 24</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248 ± 38</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18.4% ± 2.2</w:t>
            </w:r>
          </w:p>
        </w:tc>
        <w:tc>
          <w:tcPr>
            <w:tcW w:type="dxa" w:w="10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22.6%</w:t>
            </w:r>
          </w:p>
        </w:tc>
      </w:tr>
      <w:tr>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10.0 (RP2D ref)</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698 ± 82</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198 ± 38</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124 ± 26</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312 ± 48</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24.2% ± 3.1</w:t>
            </w:r>
          </w:p>
        </w:tc>
        <w:tc>
          <w:tcPr>
            <w:tcW w:type="dxa" w:w="10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28.4%</w:t>
            </w:r>
          </w:p>
        </w:tc>
      </w:tr>
      <w:tr>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100.0</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712 ± 88</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204 ± 40</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126 ± 28</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318 ± 52</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24.8% ± 3.2</w:t>
            </w:r>
          </w:p>
        </w:tc>
        <w:tc>
          <w:tcPr>
            <w:tcW w:type="dxa" w:w="10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29.2%</w:t>
            </w:r>
          </w:p>
        </w:tc>
      </w:tr>
      <w:tr>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Pembrolizumab 10.0 (ref)</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644 ± 76</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184 ± 34</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118 ± 24</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288 ± 44</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22.6% ± 2.8</w:t>
            </w:r>
          </w:p>
        </w:tc>
        <w:tc>
          <w:tcPr>
            <w:tcW w:type="dxa" w:w="10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26.8%</w:t>
            </w:r>
          </w:p>
        </w:tc>
      </w:tr>
    </w:tbl>
    <w:p>
      <w:pPr>
        <w:spacing w:before="60" w:after="60"/>
      </w:pPr>
      <w:r>
        <w:rPr>
          <w:rFonts w:ascii="Arial" w:cs="Arial" w:eastAsia="Arial" w:hAnsi="Arial"/>
          <w:i/>
          <w:iCs/>
          <w:color w:val="555555"/>
          <w:sz w:val="18"/>
          <w:szCs w:val="18"/>
        </w:rPr>
        <w:t xml:space="preserve">Table 5.1 MLR full dose-response (mean ± SD; n=6 donors, triplicate wells per condition). EC₅₀ for IFN-γ induction: 0.85 nM (= 0.127 µg/mL for 144 kDa IgG4). Maximum IFN-γ plateaus at ~700 pg/mL from 10 µg/mL onward, consistent with saturable receptor-mediated mechanism. IL-10 is mildly upregulated (consistent with restored Th1/regulatory balance). Cervimab produces 1.08× more IFN-γ than pembrolizumab at equivalent concentration.</w:t>
      </w:r>
    </w:p>
    <w:p>
      <w:pPr>
        <w:spacing w:before="100" w:after="100"/>
      </w:pPr>
    </w:p>
    <w:p>
      <w:pPr>
        <w:pStyle w:val="Heading1"/>
        <w:pBdr>
          <w:bottom w:val="single" w:color="2E6DA4" w:sz="6" w:space="1"/>
        </w:pBdr>
        <w:spacing w:before="320" w:after="160"/>
      </w:pPr>
      <w:r>
        <w:rPr>
          <w:rFonts w:ascii="Arial" w:cs="Arial" w:eastAsia="Arial" w:hAnsi="Arial"/>
          <w:b/>
          <w:bCs/>
          <w:color w:val="1A3A5C"/>
          <w:sz w:val="28"/>
          <w:szCs w:val="28"/>
        </w:rPr>
        <w:t xml:space="preserve">6. ADCC and CDC Assays — Fc Effector Function</w:t>
      </w:r>
    </w:p>
    <w:p>
      <w:pPr>
        <w:pStyle w:val="Heading2"/>
        <w:spacing w:before="240" w:after="120"/>
      </w:pPr>
      <w:r>
        <w:rPr>
          <w:rFonts w:ascii="Arial" w:cs="Arial" w:eastAsia="Arial" w:hAnsi="Arial"/>
          <w:b/>
          <w:bCs/>
          <w:color w:val="2E6DA4"/>
          <w:sz w:val="22"/>
          <w:szCs w:val="22"/>
        </w:rPr>
        <w:t xml:space="preserve">6.1 ADCC Reporter Assay</w:t>
      </w:r>
    </w:p>
    <w:p>
      <w:pPr>
        <w:spacing w:before="60" w:after="60"/>
      </w:pPr>
      <w:r>
        <w:rPr>
          <w:rFonts w:ascii="Arial" w:cs="Arial" w:eastAsia="Arial" w:hAnsi="Arial"/>
          <w:sz w:val="20"/>
          <w:szCs w:val="20"/>
        </w:rPr>
        <w:t xml:space="preserve">Antibody-dependent cellular cytotoxicity (ADCC) was assessed using the Promega ADCC Reporter Bioassay (Jurkat-NFAT-luciferase effectors stably expressing FcγRIIIa V158; PD-L1-overexpressing target cells MC38-hPD-L1). Rationale: IgG4 is generally considered a non-ADCC-effector isotype, but cervimab was tested to confirm the absence of effector function that could deplete PD-1-expressing T cells.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680"/>
        <w:gridCol w:w="1920"/>
      </w:tblGrid>
      <w:tr>
        <w:tc>
          <w:tcPr>
            <w:tcW w:type="dxa" w:w="240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Antibody</w:t>
            </w:r>
          </w:p>
        </w:tc>
        <w:tc>
          <w:tcPr>
            <w:tcW w:type="dxa" w:w="168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Luminescence (RLU)</w:t>
            </w:r>
          </w:p>
        </w:tc>
        <w:tc>
          <w:tcPr>
            <w:tcW w:type="dxa" w:w="168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EC₅₀ (µg/mL)</w:t>
            </w:r>
          </w:p>
        </w:tc>
        <w:tc>
          <w:tcPr>
            <w:tcW w:type="dxa" w:w="168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Max fold-induction</w:t>
            </w:r>
          </w:p>
        </w:tc>
        <w:tc>
          <w:tcPr>
            <w:tcW w:type="dxa" w:w="192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Interpretation</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Cervimab 10 µg/mL</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2,840 ± 284</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&gt;100 (no ADCC)</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1.0× (no effect)</w:t>
            </w:r>
          </w:p>
        </w:tc>
        <w:tc>
          <w:tcPr>
            <w:tcW w:type="dxa" w:w="19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No ADCC activity — IgG4 as expected</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Isotype IgG4 S228P 10 µg/mL</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2,812 ± 268</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&gt;100</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1.0×</w:t>
            </w:r>
          </w:p>
        </w:tc>
        <w:tc>
          <w:tcPr>
            <w:tcW w:type="dxa" w:w="19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Negative control — consistent with cervimab</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Trastuzumab 10 µg/mL (IgG1 pos ctrl)</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48,240 ± 4,828</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0.08</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17.0×</w:t>
            </w:r>
          </w:p>
        </w:tc>
        <w:tc>
          <w:tcPr>
            <w:tcW w:type="dxa" w:w="19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Positive control — expected IgG1 ADCC activity</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Anti-PD-1 IgG1 comparator 10 µg/mL</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22,480 ± 2,248</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0.42</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8.0×</w:t>
            </w:r>
          </w:p>
        </w:tc>
        <w:tc>
          <w:tcPr>
            <w:tcW w:type="dxa" w:w="19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IgG1 PD-1 antibody kills PD-L1+ cells — safety concern not present with cervimab IgG4</w:t>
            </w:r>
          </w:p>
        </w:tc>
      </w:tr>
    </w:tbl>
    <w:p>
      <w:pPr>
        <w:spacing w:before="60" w:after="60"/>
      </w:pPr>
      <w:r>
        <w:rPr>
          <w:rFonts w:ascii="Arial" w:cs="Arial" w:eastAsia="Arial" w:hAnsi="Arial"/>
          <w:i/>
          <w:iCs/>
          <w:color w:val="555555"/>
          <w:sz w:val="18"/>
          <w:szCs w:val="18"/>
        </w:rPr>
        <w:t xml:space="preserve">Table 6.1 ADCC assay. Absence of ADCC activity for cervimab (IgG4 S228P) is a key safety advantage: IgG1 anti-PD-1 antibodies would theoretically deplete PD-1-expressing T cells, the desired effector population. The IgG4 isotype selection specifically addresses this safety concern. Target cells are PD-L1-expressing; effectors are FcγRIIIa-expressing Jurkat cells.</w:t>
      </w:r>
    </w:p>
    <w:p>
      <w:pPr>
        <w:spacing w:before="100" w:after="100"/>
      </w:pPr>
    </w:p>
    <w:p>
      <w:pPr>
        <w:pStyle w:val="Heading2"/>
        <w:spacing w:before="240" w:after="120"/>
      </w:pPr>
      <w:r>
        <w:rPr>
          <w:rFonts w:ascii="Arial" w:cs="Arial" w:eastAsia="Arial" w:hAnsi="Arial"/>
          <w:b/>
          <w:bCs/>
          <w:color w:val="2E6DA4"/>
          <w:sz w:val="22"/>
          <w:szCs w:val="22"/>
        </w:rPr>
        <w:t xml:space="preserve">6.2 Complement-Dependent Cytotoxicity (CDC)</w:t>
      </w:r>
    </w:p>
    <w:p>
      <w:pPr>
        <w:spacing w:before="60" w:after="60"/>
      </w:pPr>
      <w:r>
        <w:rPr>
          <w:rFonts w:ascii="Arial" w:cs="Arial" w:eastAsia="Arial" w:hAnsi="Arial"/>
          <w:sz w:val="20"/>
          <w:szCs w:val="20"/>
        </w:rPr>
        <w:t xml:space="preserve">CDC was assessed by LDH release assay (Promega CytoTox 96) using PD-1-overexpressing Jurkat cells as targets and normal human serum (NHS; 20% v/v) as complement source. Purpose: confirm absence of CDC that could deplete PD-1+ T cells.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680"/>
        <w:gridCol w:w="1680"/>
        <w:gridCol w:w="2880"/>
      </w:tblGrid>
      <w:tr>
        <w:tc>
          <w:tcPr>
            <w:tcW w:type="dxa" w:w="312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Condition</w:t>
            </w:r>
          </w:p>
        </w:tc>
        <w:tc>
          <w:tcPr>
            <w:tcW w:type="dxa" w:w="168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 Specific Lysis</w:t>
            </w:r>
          </w:p>
        </w:tc>
        <w:tc>
          <w:tcPr>
            <w:tcW w:type="dxa" w:w="168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vs Control</w:t>
            </w:r>
          </w:p>
        </w:tc>
        <w:tc>
          <w:tcPr>
            <w:tcW w:type="dxa" w:w="288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Interpretation</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Cervimab 100 µg/mL + NHS</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3.2% ± 1.8</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Not significant</w:t>
            </w:r>
          </w:p>
        </w:tc>
        <w:tc>
          <w:tcPr>
            <w:tcW w:type="dxa" w:w="28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No CDC — expected for IgG4 (poor C1q binding)</w:t>
            </w:r>
          </w:p>
        </w:tc>
      </w:tr>
      <w:tr>
        <w:tc>
          <w:tcPr>
            <w:tcW w:type="dxa" w:w="31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Isotype IgG4 100 µg/mL + NHS</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2.8% ± 1.4</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w:t>
            </w:r>
          </w:p>
        </w:tc>
        <w:tc>
          <w:tcPr>
            <w:tcW w:type="dxa" w:w="28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Negative control — consistent with cervimab</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Rituximab 10 µg/mL + NHS (IgG1, pos ctrl)</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68.4% ± 6.2</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Positive control</w:t>
            </w:r>
          </w:p>
        </w:tc>
        <w:tc>
          <w:tcPr>
            <w:tcW w:type="dxa" w:w="28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Expected CDC activity for IgG1 on CD20+ Raji cells</w:t>
            </w:r>
          </w:p>
        </w:tc>
      </w:tr>
      <w:tr>
        <w:tc>
          <w:tcPr>
            <w:tcW w:type="dxa" w:w="31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Cervimab + heat-inactivated NHS (control)</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2.4% ± 1.2</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w:t>
            </w:r>
          </w:p>
        </w:tc>
        <w:tc>
          <w:tcPr>
            <w:tcW w:type="dxa" w:w="28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No complement activity without active complement</w:t>
            </w:r>
          </w:p>
        </w:tc>
      </w:tr>
    </w:tbl>
    <w:p>
      <w:pPr>
        <w:spacing w:before="60" w:after="60"/>
      </w:pPr>
      <w:r>
        <w:rPr>
          <w:rFonts w:ascii="Arial" w:cs="Arial" w:eastAsia="Arial" w:hAnsi="Arial"/>
          <w:i/>
          <w:iCs/>
          <w:color w:val="555555"/>
          <w:sz w:val="18"/>
          <w:szCs w:val="18"/>
        </w:rPr>
        <w:t xml:space="preserve">Table 6.2 CDC assay. Cervimab shows no CDC activity — consistent with IgG4 isotype (minimal C1q binding) and S228P stabilization. Combined with absence of ADCC (Table 6.1), the effector function profile of cervimab is consistent with a pure PD-1 blocking mechanism without direct T-cell depletion.</w:t>
      </w:r>
    </w:p>
    <w:p>
      <w:pPr>
        <w:spacing w:before="100" w:after="100"/>
      </w:pPr>
    </w:p>
    <w:p>
      <w:pPr>
        <w:pStyle w:val="Heading1"/>
        <w:pBdr>
          <w:bottom w:val="single" w:color="2E6DA4" w:sz="6" w:space="1"/>
        </w:pBdr>
        <w:spacing w:before="320" w:after="160"/>
      </w:pPr>
      <w:r>
        <w:rPr>
          <w:rFonts w:ascii="Arial" w:cs="Arial" w:eastAsia="Arial" w:hAnsi="Arial"/>
          <w:b/>
          <w:bCs/>
          <w:color w:val="1A3A5C"/>
          <w:sz w:val="28"/>
          <w:szCs w:val="28"/>
        </w:rPr>
        <w:t xml:space="preserve">7. Tissue Cross-Reactivity IHC (Human and Cynomolgus)</w:t>
      </w:r>
    </w:p>
    <w:p>
      <w:pPr>
        <w:spacing w:before="60" w:after="60"/>
      </w:pPr>
      <w:r>
        <w:rPr>
          <w:rFonts w:ascii="Arial" w:cs="Arial" w:eastAsia="Arial" w:hAnsi="Arial"/>
          <w:sz w:val="20"/>
          <w:szCs w:val="20"/>
        </w:rPr>
        <w:t xml:space="preserve">Tissue cross-reactivity (TCR-IHC) was performed to assess off-target binding of cervimab to non-intended tissues. A panel of 37 human tissues and 32 cynomolgus monkey tissues was tested (FFPE; 4 µm sections), following FDA guidance on tissue cross-reactivity studies for antibody therapeutics. Staining performed by Covance Laboratories under contract (GLP-compliant IHC; anti-HRP secondary; DAB chromogen; hematoxylin counterstain).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440"/>
        <w:gridCol w:w="1440"/>
        <w:gridCol w:w="1440"/>
        <w:gridCol w:w="2400"/>
      </w:tblGrid>
      <w:tr>
        <w:tc>
          <w:tcPr>
            <w:tcW w:type="dxa" w:w="264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Tissue</w:t>
            </w:r>
          </w:p>
        </w:tc>
        <w:tc>
          <w:tcPr>
            <w:tcW w:type="dxa" w:w="144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Human staining (1 µg/mL)</w:t>
            </w:r>
          </w:p>
        </w:tc>
        <w:tc>
          <w:tcPr>
            <w:tcW w:type="dxa" w:w="144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Human staining (20 µg/mL)</w:t>
            </w:r>
          </w:p>
        </w:tc>
        <w:tc>
          <w:tcPr>
            <w:tcW w:type="dxa" w:w="144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Cyno staining (20 µg/mL)</w:t>
            </w:r>
          </w:p>
        </w:tc>
        <w:tc>
          <w:tcPr>
            <w:tcW w:type="dxa" w:w="240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Interpretation / Expected</w:t>
            </w:r>
          </w:p>
        </w:tc>
      </w:tr>
      <w:tr>
        <w:tc>
          <w:tcPr>
            <w:tcW w:type="dxa" w:w="26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Lymph node (cortex)</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 (lymphocytes)</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 (lymphocytes)</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 (lymphocytes)</w:t>
            </w:r>
          </w:p>
        </w:tc>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EXPECTED: PD-1+ T-cells in germinal centers — on-target</w:t>
            </w:r>
          </w:p>
        </w:tc>
      </w:tr>
      <w:tr>
        <w:tc>
          <w:tcPr>
            <w:tcW w:type="dxa" w:w="26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Thymus</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 (medullary T-cells)</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 (medullary)</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 (medullary)</w:t>
            </w:r>
          </w:p>
        </w:tc>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EXPECTED: PD-1 expressed on developing T-cells — on-target</w:t>
            </w:r>
          </w:p>
        </w:tc>
      </w:tr>
      <w:tr>
        <w:tc>
          <w:tcPr>
            <w:tcW w:type="dxa" w:w="26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Spleen (white pulp)</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 (T-cell zones)</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 (T-cell zones)</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 (T-cell zones)</w:t>
            </w:r>
          </w:p>
        </w:tc>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EXPECTED: PD-1+ T-cells in PALS — on-target</w:t>
            </w:r>
          </w:p>
        </w:tc>
      </w:tr>
      <w:tr>
        <w:tc>
          <w:tcPr>
            <w:tcW w:type="dxa" w:w="26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Tonsil</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 (T-cell areas)</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 (T-cell areas)</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 (T-cell areas)</w:t>
            </w:r>
          </w:p>
        </w:tc>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EXPECTED: on-target</w:t>
            </w:r>
          </w:p>
        </w:tc>
      </w:tr>
      <w:tr>
        <w:tc>
          <w:tcPr>
            <w:tcW w:type="dxa" w:w="26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Bone marrow</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 (scattered cells)</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 (scattered cells)</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 (scattered cells)</w:t>
            </w:r>
          </w:p>
        </w:tc>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EXPECTED: PD-1+ progenitor T-cells</w:t>
            </w:r>
          </w:p>
        </w:tc>
      </w:tr>
      <w:tr>
        <w:tc>
          <w:tcPr>
            <w:tcW w:type="dxa" w:w="26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Brain (cortex, cerebellum)</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Negative</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Negative</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Negative</w:t>
            </w:r>
          </w:p>
        </w:tc>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No unexpected CNS binding</w:t>
            </w:r>
          </w:p>
        </w:tc>
      </w:tr>
      <w:tr>
        <w:tc>
          <w:tcPr>
            <w:tcW w:type="dxa" w:w="26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Heart (myocardium)</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Negative</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Negative</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Negative</w:t>
            </w:r>
          </w:p>
        </w:tc>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No unexpected cardiac binding</w:t>
            </w:r>
          </w:p>
        </w:tc>
      </w:tr>
      <w:tr>
        <w:tc>
          <w:tcPr>
            <w:tcW w:type="dxa" w:w="26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Liver (hepatocytes, Kupffer)</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Negative</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Negative</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Negative</w:t>
            </w:r>
          </w:p>
        </w:tc>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No hepatocyte binding; Kupffer cells negative (not PD-1+)</w:t>
            </w:r>
          </w:p>
        </w:tc>
      </w:tr>
      <w:tr>
        <w:tc>
          <w:tcPr>
            <w:tcW w:type="dxa" w:w="26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Kidney (cortex, medulla)</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Negative</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Negative</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Negative</w:t>
            </w:r>
          </w:p>
        </w:tc>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No unexpected renal binding (relevance: nephritis monitoring)</w:t>
            </w:r>
          </w:p>
        </w:tc>
      </w:tr>
      <w:tr>
        <w:tc>
          <w:tcPr>
            <w:tcW w:type="dxa" w:w="26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Lung (alveoli, bronchi)</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 (scattered lymphocytes)</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 (scattered lymphocytes)</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 (scattered lymphocytes)</w:t>
            </w:r>
          </w:p>
        </w:tc>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EXPECTED: tissue-resident PD-1+ T-cells (relevance: pneumonitis risk)</w:t>
            </w:r>
          </w:p>
        </w:tc>
      </w:tr>
      <w:tr>
        <w:tc>
          <w:tcPr>
            <w:tcW w:type="dxa" w:w="26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Colon (mucosa)</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 (lamina propria lymphocytes)</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 (lamina propria)</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 (lamina propria)</w:t>
            </w:r>
          </w:p>
        </w:tc>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EXPECTED: mucosal TILs and lamina propria T-cells (colitis risk explained)</w:t>
            </w:r>
          </w:p>
        </w:tc>
      </w:tr>
      <w:tr>
        <w:tc>
          <w:tcPr>
            <w:tcW w:type="dxa" w:w="26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All other 25+ tissues</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Negative</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Negative</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Negative</w:t>
            </w:r>
          </w:p>
        </w:tc>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No unexpected off-target binding in any other normal tissue</w:t>
            </w:r>
          </w:p>
        </w:tc>
      </w:tr>
    </w:tbl>
    <w:p>
      <w:pPr>
        <w:spacing w:before="60" w:after="60"/>
      </w:pPr>
      <w:r>
        <w:rPr>
          <w:rFonts w:ascii="Arial" w:cs="Arial" w:eastAsia="Arial" w:hAnsi="Arial"/>
          <w:i/>
          <w:iCs/>
          <w:color w:val="555555"/>
          <w:sz w:val="18"/>
          <w:szCs w:val="18"/>
        </w:rPr>
        <w:t xml:space="preserve">Table 7.1 Tissue cross-reactivity IHC panel (abbreviated; full report GLP-compliant, available as MOS-TCR-2022-001). Staining in lymphoid tissues is fully expected (PD-1 is physiologically expressed on T-cells in these compartments). Absence of non-immune-cell binding in all other tissues (brain, heart, liver, kidney, etc.) demonstrates high target specificity. Lung and colon PD-1+ TIL staining mechanistically explains the known class irAE risks (pneumonitis, colitis) and will inform the clinical monitoring schedule.</w:t>
      </w:r>
    </w:p>
    <w:p>
      <w:pPr>
        <w:spacing w:before="100" w:after="100"/>
      </w:pPr>
    </w:p>
    <w:p>
      <w:pPr>
        <w:pStyle w:val="Heading1"/>
        <w:pBdr>
          <w:bottom w:val="single" w:color="2E6DA4" w:sz="6" w:space="1"/>
        </w:pBdr>
        <w:spacing w:before="320" w:after="160"/>
      </w:pPr>
      <w:r>
        <w:rPr>
          <w:rFonts w:ascii="Arial" w:cs="Arial" w:eastAsia="Arial" w:hAnsi="Arial"/>
          <w:b/>
          <w:bCs/>
          <w:color w:val="1A3A5C"/>
          <w:sz w:val="28"/>
          <w:szCs w:val="28"/>
        </w:rPr>
        <w:t xml:space="preserve">8. In Vitro Immunogenicity Risk Assessment</w:t>
      </w:r>
    </w:p>
    <w:p>
      <w:pPr>
        <w:spacing w:before="60" w:after="60"/>
      </w:pPr>
      <w:r>
        <w:rPr>
          <w:rFonts w:ascii="Arial" w:cs="Arial" w:eastAsia="Arial" w:hAnsi="Arial"/>
          <w:sz w:val="20"/>
          <w:szCs w:val="20"/>
        </w:rPr>
        <w:t xml:space="preserve">Cervimab was assessed for immunogenicity risk using the EpiMatrix T-cell epitope prediction algorithm (EpiVax, Inc.) and an in vitro T-cell activation assay (DC/T-cell co-stimulation with pre-processed peptides covering the cervimab VH/VL 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3600"/>
      </w:tblGrid>
      <w:tr>
        <w:tc>
          <w:tcPr>
            <w:tcW w:type="dxa" w:w="240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Assessment</w:t>
            </w:r>
          </w:p>
        </w:tc>
        <w:tc>
          <w:tcPr>
            <w:tcW w:type="dxa" w:w="168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Result</w:t>
            </w:r>
          </w:p>
        </w:tc>
        <w:tc>
          <w:tcPr>
            <w:tcW w:type="dxa" w:w="168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Threshold</w:t>
            </w:r>
          </w:p>
        </w:tc>
        <w:tc>
          <w:tcPr>
            <w:tcW w:type="dxa" w:w="360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Interpretation</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EpiMatrix immunogenicity score (VH)</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−2.8 (normalized)</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&lt;0 = low risk</w:t>
            </w:r>
          </w:p>
        </w:tc>
        <w:tc>
          <w:tcPr>
            <w:tcW w:type="dxa" w:w="36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Low predicted T-cell epitope content in VH; germline origin (IGHV3-33) reduces neo-epitope risk</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EpiMatrix immunogenicity score (VL)</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−1.4 (normalized)</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&lt;0 = low risk</w:t>
            </w:r>
          </w:p>
        </w:tc>
        <w:tc>
          <w:tcPr>
            <w:tcW w:type="dxa" w:w="3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Low predicted T-cell epitope content in VL; germline origin (IGKV1-39) reduces risk</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Number of T-cell epitope 'hot-spots' (EpiMatrix ≥1.64)</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0 VH / 0 VL</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&lt;3 hot-spots = low</w:t>
            </w:r>
          </w:p>
        </w:tc>
        <w:tc>
          <w:tcPr>
            <w:tcW w:type="dxa" w:w="36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No predicted immunogenic hot-spots in VH or VL CDR regions</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In vitro DC/T-cell stimulation assay (SI vs control)</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SI = 1.08 ± 0.12</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SI &lt;2.5 = low</w:t>
            </w:r>
          </w:p>
        </w:tc>
        <w:tc>
          <w:tcPr>
            <w:tcW w:type="dxa" w:w="3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No T-cell stimulation above background — very low immunogenicity risk</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Fc-mediated immunogenicity risk (IgG4 S228P)</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None predicted</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w:t>
            </w:r>
          </w:p>
        </w:tc>
        <w:tc>
          <w:tcPr>
            <w:tcW w:type="dxa" w:w="36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S228P eliminates IgG4 Fab-arm exchange, reducing neoepitope formation from hybrid antibodies</w:t>
            </w:r>
          </w:p>
        </w:tc>
      </w:tr>
    </w:tbl>
    <w:p>
      <w:pPr>
        <w:spacing w:before="60" w:after="60"/>
      </w:pPr>
      <w:r>
        <w:rPr>
          <w:rFonts w:ascii="Arial" w:cs="Arial" w:eastAsia="Arial" w:hAnsi="Arial"/>
          <w:i/>
          <w:iCs/>
          <w:color w:val="555555"/>
          <w:sz w:val="18"/>
          <w:szCs w:val="18"/>
        </w:rPr>
        <w:t xml:space="preserve">Table 8.1 Immunogenicity risk assessment. Overall immunogenicity risk for cervimab is LOW based on both computational and functional in vitro assessments. This is consistent with the fully human IgG4 antibody design using germline VH and VL frameworks. Expected ADA rate based on class data (pembrolizumab ~1–2%; nivolumab ~0%) estimated at &lt;5% for cervimab in Phase 1.</w:t>
      </w:r>
    </w:p>
    <w:p>
      <w:pPr>
        <w:spacing w:before="100" w:after="100"/>
      </w:pPr>
    </w:p>
    <w:p>
      <w:pPr>
        <w:pStyle w:val="Heading1"/>
        <w:pBdr>
          <w:bottom w:val="single" w:color="2E6DA4" w:sz="6" w:space="1"/>
        </w:pBdr>
        <w:spacing w:before="320" w:after="160"/>
      </w:pPr>
      <w:r>
        <w:rPr>
          <w:rFonts w:ascii="Arial" w:cs="Arial" w:eastAsia="Arial" w:hAnsi="Arial"/>
          <w:b/>
          <w:bCs/>
          <w:color w:val="1A3A5C"/>
          <w:sz w:val="28"/>
          <w:szCs w:val="28"/>
        </w:rPr>
        <w:t xml:space="preserve">9. Summary Table: Complete In Vitro Assay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560"/>
        <w:gridCol w:w="3840"/>
      </w:tblGrid>
      <w:tr>
        <w:tc>
          <w:tcPr>
            <w:tcW w:type="dxa" w:w="240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Assay</w:t>
            </w:r>
          </w:p>
        </w:tc>
        <w:tc>
          <w:tcPr>
            <w:tcW w:type="dxa" w:w="156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Result</w:t>
            </w:r>
          </w:p>
        </w:tc>
        <w:tc>
          <w:tcPr>
            <w:tcW w:type="dxa" w:w="156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Reference Standard</w:t>
            </w:r>
          </w:p>
        </w:tc>
        <w:tc>
          <w:tcPr>
            <w:tcW w:type="dxa" w:w="384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Regulatory Significance</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SPR KD (human PD-1)</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0.42 nM</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Pembrolizumab 1.06 nM</w:t>
            </w:r>
          </w:p>
        </w:tc>
        <w:tc>
          <w:tcPr>
            <w:tcW w:type="dxa" w:w="38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2.5× higher affinity than approved agent; supports differentiated clinical activity; basis for MABEL FIH dose</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PD-L1 competitive block IC₅₀</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0.68 nM</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Pembrolizumab 1.48 nM</w:t>
            </w:r>
          </w:p>
        </w:tc>
        <w:tc>
          <w:tcPr>
            <w:tcW w:type="dxa" w:w="38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Validates mechanism of action for IND Section 3 (general investigational plan)</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MLR EC₅₀ IFN-γ</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0.85 nM</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Pembrolizumab 2.14 nM</w:t>
            </w:r>
          </w:p>
        </w:tc>
        <w:tc>
          <w:tcPr>
            <w:tcW w:type="dxa" w:w="38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Functional potency supports RP2D selection rationale for Phase 2</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T-cell RO EC₅₀</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~1.0 nM (cell-based)</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N/A</w:t>
            </w:r>
          </w:p>
        </w:tc>
        <w:tc>
          <w:tcPr>
            <w:tcW w:type="dxa" w:w="38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MABEL calculation: 20–30% RO = 0.1–0.15 nM → FIH dose ~1 mg/kg IV</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Cyno PD-1 KD</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0.61 nM</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Cyno/human ratio 1.45</w:t>
            </w:r>
          </w:p>
        </w:tc>
        <w:tc>
          <w:tcPr>
            <w:tcW w:type="dxa" w:w="38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Supports cynomolgus monkey as pharmacologically relevant toxicology species (ICH S6R1)</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ADCC (FcγRIIIa reporter)</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No ADCC</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IgG4 (expected)</w:t>
            </w:r>
          </w:p>
        </w:tc>
        <w:tc>
          <w:tcPr>
            <w:tcW w:type="dxa" w:w="38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Confirms absence of T-cell depletion risk; critical safety advantage of IgG4 isotype selection</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CDC</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No CDC</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IgG4 (expected)</w:t>
            </w:r>
          </w:p>
        </w:tc>
        <w:tc>
          <w:tcPr>
            <w:tcW w:type="dxa" w:w="38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Confirms absence of complement-mediated T-cell depletion</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Tissue cross-reactivity IHC</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Expected (lymphoid)</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On-target only</w:t>
            </w:r>
          </w:p>
        </w:tc>
        <w:tc>
          <w:tcPr>
            <w:tcW w:type="dxa" w:w="38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No unexpected off-target binding; informs monitoring for known class irAEs (colitis, pneumonitis)</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In vitro immunogenicity</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Low risk (SI 1.08)</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SI &lt;2.5 = low</w:t>
            </w:r>
          </w:p>
        </w:tc>
        <w:tc>
          <w:tcPr>
            <w:tcW w:type="dxa" w:w="38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Supports low predicted clinical ADA rate; consistent with fully human IgG4 design</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Patient tumor digest ex vivo activity</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6/6 dMMR respond; 0/2 pMMR</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Biomarker-selected response</w:t>
            </w:r>
          </w:p>
        </w:tc>
        <w:tc>
          <w:tcPr>
            <w:tcW w:type="dxa" w:w="38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Mechanistic rationale for dMMR/MSI-H patient selection (IND biomarker strategy)</w:t>
            </w:r>
          </w:p>
        </w:tc>
      </w:tr>
    </w:tbl>
    <w:p>
      <w:pPr>
        <w:spacing w:before="60" w:after="60"/>
      </w:pPr>
      <w:r>
        <w:rPr>
          <w:rFonts w:ascii="Arial" w:cs="Arial" w:eastAsia="Arial" w:hAnsi="Arial"/>
          <w:i/>
          <w:iCs/>
          <w:color w:val="555555"/>
          <w:sz w:val="18"/>
          <w:szCs w:val="18"/>
        </w:rPr>
        <w:t xml:space="preserve">Table 9.1 Integrated in vitro assay summary. This package constitutes the primary pharmacological basis for the IND submission and supports the proposed FIH starting dose (1 mg/kg IV Q3W), species selection (cynomolgus monkey), and biomarker strategy (dMMR/MSI-H) per 21 CFR 312.23(a)(8).</w:t>
      </w:r>
    </w:p>
    <w:p>
      <w:pPr>
        <w:spacing w:before="100" w:after="100"/>
      </w:pPr>
    </w:p>
    <w:p>
      <w:pPr>
        <w:pStyle w:val="Heading1"/>
        <w:pBdr>
          <w:bottom w:val="single" w:color="2E6DA4" w:sz="6" w:space="1"/>
        </w:pBdr>
        <w:spacing w:before="320" w:after="160"/>
      </w:pPr>
      <w:r>
        <w:rPr>
          <w:rFonts w:ascii="Arial" w:cs="Arial" w:eastAsia="Arial" w:hAnsi="Arial"/>
          <w:b/>
          <w:bCs/>
          <w:color w:val="1A3A5C"/>
          <w:sz w:val="28"/>
          <w:szCs w:val="28"/>
        </w:rPr>
        <w:t xml:space="preserve">10. Regulatory Compliance and Data Integrity</w:t>
      </w:r>
    </w:p>
    <w:p>
      <w:pPr>
        <w:spacing w:before="60" w:after="60"/>
      </w:pPr>
      <w:r>
        <w:rPr>
          <w:rFonts w:ascii="Arial" w:cs="Arial" w:eastAsia="Arial" w:hAnsi="Arial"/>
          <w:sz w:val="20"/>
          <w:szCs w:val="20"/>
        </w:rPr>
        <w:t xml:space="preserve">All in vitro studies were conducted under the following quality framework:</w:t>
      </w:r>
    </w:p>
    <w:p>
      <w:pPr>
        <w:pStyle w:val="ListParagraph"/>
        <w:numPr>
          <w:ilvl w:val="0"/>
          <w:numId w:val="2"/>
        </w:numPr>
        <w:spacing w:before="40" w:after="40"/>
      </w:pPr>
      <w:r>
        <w:rPr>
          <w:rFonts w:ascii="Arial" w:cs="Arial" w:eastAsia="Arial" w:hAnsi="Arial"/>
          <w:sz w:val="20"/>
          <w:szCs w:val="20"/>
        </w:rPr>
        <w:t xml:space="preserve">21 CFR Part 11: Electronic records and electronic signatures — all data captured in Dotmatics ELN (Version 11.2) with full audit trail; instrument data files archived with read-only access protection.</w:t>
      </w:r>
    </w:p>
    <w:p>
      <w:pPr>
        <w:pStyle w:val="ListParagraph"/>
        <w:numPr>
          <w:ilvl w:val="0"/>
          <w:numId w:val="2"/>
        </w:numPr>
        <w:spacing w:before="40" w:after="40"/>
      </w:pPr>
      <w:r>
        <w:rPr>
          <w:rFonts w:ascii="Arial" w:cs="Arial" w:eastAsia="Arial" w:hAnsi="Arial"/>
          <w:sz w:val="20"/>
          <w:szCs w:val="20"/>
        </w:rPr>
        <w:t xml:space="preserve">ICH M10 Bioanalytical Method Validation (2022): Fit-for-purpose qualification applied to all assays; critical assays (SPR, MLR) performed at ICH M10 Tier 2 level.</w:t>
      </w:r>
    </w:p>
    <w:p>
      <w:pPr>
        <w:pStyle w:val="ListParagraph"/>
        <w:numPr>
          <w:ilvl w:val="0"/>
          <w:numId w:val="2"/>
        </w:numPr>
        <w:spacing w:before="40" w:after="40"/>
      </w:pPr>
      <w:r>
        <w:rPr>
          <w:rFonts w:ascii="Arial" w:cs="Arial" w:eastAsia="Arial" w:hAnsi="Arial"/>
          <w:sz w:val="20"/>
          <w:szCs w:val="20"/>
        </w:rPr>
        <w:t xml:space="preserve">FDA Guidance on In Vitro Companion Diagnostic Tests (2014): TCR-IHC conducted at GLP-qualified CRO (Covance Laboratories) in compliance with FDA tissue cross-reactivity study expectations.</w:t>
      </w:r>
    </w:p>
    <w:p>
      <w:pPr>
        <w:pStyle w:val="ListParagraph"/>
        <w:numPr>
          <w:ilvl w:val="0"/>
          <w:numId w:val="2"/>
        </w:numPr>
        <w:spacing w:before="40" w:after="40"/>
      </w:pPr>
      <w:r>
        <w:rPr>
          <w:rFonts w:ascii="Arial" w:cs="Arial" w:eastAsia="Arial" w:hAnsi="Arial"/>
          <w:sz w:val="20"/>
          <w:szCs w:val="20"/>
        </w:rPr>
        <w:t xml:space="preserve">ARRIVE 2.0: Not applicable (in vitro; no animals used in this assay package). Animal studies are reported separately per ARRIVE 2.0 in MOS-TVR-2021-001.</w:t>
      </w:r>
    </w:p>
    <w:p>
      <w:pPr>
        <w:pStyle w:val="ListParagraph"/>
        <w:numPr>
          <w:ilvl w:val="0"/>
          <w:numId w:val="2"/>
        </w:numPr>
        <w:spacing w:before="40" w:after="40"/>
      </w:pPr>
      <w:r>
        <w:rPr>
          <w:rFonts w:ascii="Arial" w:cs="Arial" w:eastAsia="Arial" w:hAnsi="Arial"/>
          <w:sz w:val="20"/>
          <w:szCs w:val="20"/>
        </w:rPr>
        <w:t xml:space="preserve">OECD GLP Principles: Not applicable to exploratory in vitro studies; GLP applies to pivotal toxicology studies (reported in MOS-NOAEL-2022-001).</w:t>
      </w:r>
    </w:p>
    <w:p>
      <w:pPr>
        <w:spacing w:before="100" w:after="100"/>
      </w:pPr>
    </w:p>
    <w:p>
      <w:pPr>
        <w:spacing w:before="60" w:after="60"/>
      </w:pPr>
      <w:r>
        <w:rPr>
          <w:rFonts w:ascii="Arial" w:cs="Arial" w:eastAsia="Arial" w:hAnsi="Arial"/>
          <w:i/>
          <w:iCs/>
          <w:color w:val="555555"/>
          <w:sz w:val="18"/>
          <w:szCs w:val="18"/>
        </w:rPr>
        <w:t xml:space="preserve">Prepared by: Pharmacology and In Vitro Sciences Group, Meridian Oncology Sciences | Document: MOS-IVA-2022-005 v2.5 | Reviewed by: Head of Discovery Pharmacology | Approved by: VP Regulatory Affairs</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pBdr>
    </w:pPr>
    <w:r>
      <w:rPr>
        <w:rFonts w:ascii="Arial" w:cs="Arial" w:eastAsia="Arial" w:hAnsi="Arial"/>
        <w:color w:val="888888"/>
        <w:sz w:val="16"/>
        <w:szCs w:val="16"/>
      </w:rPr>
      <w:t xml:space="preserve">MOS-IVA-2022-005 v2.5  |  Page </w:t>
    </w:r>
    <w:pgNum/>
    <w:r>
      <w:rPr>
        <w:rFonts w:ascii="Arial" w:cs="Arial" w:eastAsia="Arial" w:hAnsi="Arial"/>
        <w:color w:val="888888"/>
        <w:sz w:val="16"/>
        <w:szCs w:val="16"/>
      </w:rPr>
      <w:t xml:space="preserve">  |  Cervimab Preclinical Program  |  © 2023 Meridian Oncology Sciences, Inc.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pBdr>
    </w:pPr>
    <w:r>
      <w:rPr>
        <w:rFonts w:ascii="Arial" w:cs="Arial" w:eastAsia="Arial" w:hAnsi="Arial"/>
        <w:b/>
        <w:bCs/>
        <w:color w:val="1A3A5C"/>
        <w:sz w:val="16"/>
        <w:szCs w:val="16"/>
      </w:rPr>
      <w:t xml:space="preserve">MERIDIAN ONCOLOGY SCIENCES  |  </w:t>
    </w:r>
    <w:r>
      <w:rPr>
        <w:rFonts w:ascii="Arial" w:cs="Arial" w:eastAsia="Arial" w:hAnsi="Arial"/>
        <w:color w:val="555555"/>
        <w:sz w:val="16"/>
        <w:szCs w:val="16"/>
      </w:rPr>
      <w:t xml:space="preserve">In Vitro Assay Results Report</w:t>
    </w:r>
    <w:r>
      <w:rPr>
        <w:rFonts w:ascii="Arial" w:cs="Arial" w:eastAsia="Arial" w:hAnsi="Arial"/>
        <w:color w:val="888888"/>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A5C"/>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6D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2026-03-15T17:47:23.344Z</dcterms:created>
  <dcterms:modified xsi:type="dcterms:W3CDTF">2026-03-15T17:47:23.344Z</dcterms:modified>
</cp:coreProperties>
</file>

<file path=docProps/custom.xml><?xml version="1.0" encoding="utf-8"?>
<Properties xmlns="http://schemas.openxmlformats.org/officeDocument/2006/custom-properties" xmlns:vt="http://schemas.openxmlformats.org/officeDocument/2006/docPropsVTypes"/>
</file>