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60"/>
        <w:jc w:val="center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MERIDIAN ONCOLOGY SCIENCES, INC.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Nonclinical Safety &amp; Pharmacokinetics Division</w:t>
      </w:r>
    </w:p>
    <w:p>
      <w:pPr>
        <w:spacing w:before="80" w:after="80"/>
      </w:pPr>
    </w:p>
    <w:p>
      <w:pPr>
        <w:pBdr>
          <w:top w:val="single" w:color="1A3A5C" w:sz="10"/>
          <w:bottom w:val="single" w:color="1A3A5C" w:sz="10"/>
        </w:pBdr>
        <w:spacing w:before="360" w:after="180"/>
        <w:jc w:val="center"/>
      </w:pPr>
      <w:r>
        <w:rPr>
          <w:rFonts w:ascii="Arial" w:cs="Arial" w:eastAsia="Arial" w:hAnsi="Arial"/>
          <w:b/>
          <w:bCs/>
          <w:color w:val="1A3A5C"/>
          <w:sz w:val="38"/>
          <w:szCs w:val="38"/>
        </w:rPr>
        <w:t xml:space="preserve">GLP 13-Week Repeat-Dose Toxicology Study Report</w:t>
      </w:r>
    </w:p>
    <w:p>
      <w:pPr>
        <w:spacing w:before="120" w:after="36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Cervimab | IV Q2W | Cynomolgus Monkey | With 8-Week Recovery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Number: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MOS-GLP-TOX-2022-002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v3.1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2022-09-30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Study Drug: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Cervimab (MOS-PD1-047) | Fully Human IgG4 S228P Anti-PD-1 mAb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IND: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 135-892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GLP Status: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GLP Compliant — 21 CFR Part 58 | Conducted at: Pacific BioLabs, Hercules, CA, USA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Regulatory Basis: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 CFR 312.23(a)(8); ICH S9; ICH S6(R1); ICH S3A; 21 CFR 58 (GLP)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CONFIDENTIAL — This document contains proprietary preclinical safety information supporting IND 135-892. Distribution restricted to the IND working group and regulatory authorities. Prepared per FDA GLP regulations (21 CFR Part 58) and ICH M4S CTD format.</w:t>
      </w:r>
    </w:p>
    <w:p>
      <w:r>
        <w:br w:type="page"/>
      </w:r>
    </w:p>
    <w:p>
      <w:pPr>
        <w:pStyle w:val="Heading1"/>
        <w:pBdr>
          <w:bottom w:val="single" w:color="2E6DA4" w:sz="8" w:space="1"/>
        </w:pBdr>
        <w:spacing w:before="320" w:after="14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Study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Study Number: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PBL-MOS-2022-RD-001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Study Title: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13-Week Repeat-Dose Intravenous Toxicology and Toxicokinetic Study of Cervimab in Cynomolgus Monkeys (Q2W Dosing) with an 8-Week Recovery Period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Duration: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 weeks treatment (7 doses Q2W: Days 1, 15, 29, 43, 57, 71, 85) + 8-week recovery (Day 141 necropsy)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Route/Frequency: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Intravenous infusion (60 min, cephalic vein), Q2W (every 14 days)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Doses: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(vehicle), 3, 10, 30 mg/kg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Animals: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5M + 5F/group (main) + 3M + 3F at 0 and 30 mg/kg (recovery) = 52 total</w:t>
            </w:r>
          </w:p>
        </w:tc>
      </w:tr>
    </w:tbl>
    <w:p>
      <w:pPr>
        <w:spacing w:before="80" w:after="80"/>
      </w:pPr>
    </w:p>
    <w:p>
      <w:pPr>
        <w:pStyle w:val="Heading1"/>
        <w:pBdr>
          <w:bottom w:val="single" w:color="2E6DA4" w:sz="8" w:space="1"/>
        </w:pBdr>
        <w:spacing w:before="320" w:after="14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Observations Summary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2.1 Mortality and Clinical Signs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No mortality. At 3 and 10 mg/kg: no treatment-related clinical observations. At 30 mg/kg: Grade 1 soft stool/loose feces in 3/10 animals (Days 43–71; resolved spontaneously by Day 78 without intervention); 1/10 animal showed Grade 1 mucoid stool (Day 57; resolved Day 64). No diarrhea grade ≥2. No animals required corticosteroid rescue. Infusion site: no reactions at any dose.</w:t>
      </w:r>
    </w:p>
    <w:p>
      <w:pPr>
        <w:spacing w:before="80" w:after="8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2.2 Body Weight (Mean Change from Baseline)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440"/>
        <w:gridCol w:w="1440"/>
        <w:gridCol w:w="1440"/>
        <w:gridCol w:w="1440"/>
        <w:gridCol w:w="1920"/>
      </w:tblGrid>
      <w:tr>
        <w:tc>
          <w:tcPr>
            <w:tcW w:type="dxa" w:w="1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Timepoint</w:t>
            </w:r>
          </w:p>
        </w:tc>
        <w:tc>
          <w:tcPr>
            <w:tcW w:type="dxa" w:w="14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Vehicle M/F</w:t>
            </w:r>
          </w:p>
        </w:tc>
        <w:tc>
          <w:tcPr>
            <w:tcW w:type="dxa" w:w="14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 mg/kg M/F</w:t>
            </w:r>
          </w:p>
        </w:tc>
        <w:tc>
          <w:tcPr>
            <w:tcW w:type="dxa" w:w="14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 mg/kg M/F</w:t>
            </w:r>
          </w:p>
        </w:tc>
        <w:tc>
          <w:tcPr>
            <w:tcW w:type="dxa" w:w="14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30 mg/kg M/F</w:t>
            </w:r>
          </w:p>
        </w:tc>
        <w:tc>
          <w:tcPr>
            <w:tcW w:type="dxa" w:w="19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15 (Wk 2)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+1.8/+1.4%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+1.6/+1.2%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+1.4/+1.0%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+1.2/+0.8%</w:t>
            </w:r>
          </w:p>
        </w:tc>
        <w:tc>
          <w:tcPr>
            <w:tcW w:type="dxa" w:w="1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effect</w:t>
            </w:r>
          </w:p>
        </w:tc>
      </w:tr>
      <w:tr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43 (Wk 6)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+3.2/+2.8%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+2.8/+2.4%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+2.4/+2.0%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+1.8/+1.4%</w:t>
            </w:r>
          </w:p>
        </w:tc>
        <w:tc>
          <w:tcPr>
            <w:tcW w:type="dxa" w:w="1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Minor attenuation; NS</w:t>
            </w:r>
          </w:p>
        </w:tc>
      </w:tr>
      <w:tr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85 (Wk 12)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+4.8/+4.2%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+4.2/+3.8%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+3.8/+3.2%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+2.8/+2.4%</w:t>
            </w:r>
          </w:p>
        </w:tc>
        <w:tc>
          <w:tcPr>
            <w:tcW w:type="dxa" w:w="1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Mild attenuation at 30; NS (p=0.18)</w:t>
            </w:r>
          </w:p>
        </w:tc>
      </w:tr>
      <w:tr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141 (Recovery)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+5.4/+4.8%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+5.2/+4.6%</w:t>
            </w:r>
          </w:p>
        </w:tc>
        <w:tc>
          <w:tcPr>
            <w:tcW w:type="dxa" w:w="1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recovery</w:t>
            </w:r>
          </w:p>
        </w:tc>
      </w:tr>
    </w:tbl>
    <w:p>
      <w:pPr>
        <w:spacing w:before="80" w:after="8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2.3 Hematology — Cycle 7 (Day 85) vs Predose Baseline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200"/>
        <w:gridCol w:w="1200"/>
        <w:gridCol w:w="1200"/>
        <w:gridCol w:w="1200"/>
        <w:gridCol w:w="2880"/>
      </w:tblGrid>
      <w:tr>
        <w:tc>
          <w:tcPr>
            <w:tcW w:type="dxa" w:w="1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 (units)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Veh Day 85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 mg/kg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 mg/kg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30 mg/kg</w:t>
            </w:r>
          </w:p>
        </w:tc>
        <w:tc>
          <w:tcPr>
            <w:tcW w:type="dxa" w:w="28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Assessment</w:t>
            </w:r>
          </w:p>
        </w:tc>
      </w:tr>
      <w:tr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WBC (×10³/µL)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7.8 ± 1.4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8.4 ± 1.6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10.2 ± 2.0 *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12.8 ± 2.4 **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Dose-related ↑ WBC; pharmacological (on-target); all within reference; NON-ADVERSE</w:t>
            </w:r>
          </w:p>
        </w:tc>
      </w:tr>
      <w:tr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CD8+ T cells (% lymph)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 ± 4%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 ± 4%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 ± 6%*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 ± 8%**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Dose-related ↑ CD8+ consistent with PD-1 checkpoint release; NON-ADVERSE</w:t>
            </w:r>
          </w:p>
        </w:tc>
      </w:tr>
      <w:tr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CD4+ T cells (%)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 ± 5%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 ± 5%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 ± 5%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± 4%*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Mild ↓ CD4:CD8 ratio; pharmacological; NON-ADVERSE</w:t>
            </w:r>
          </w:p>
        </w:tc>
      </w:tr>
      <w:tr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Neutrophils (×10³/µL)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3.8 ± 0.8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4.0 ± 0.9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4.2 ± 1.0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4.8 ± 1.2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Mild ↑; within range; NON-ADVERSE</w:t>
            </w:r>
          </w:p>
        </w:tc>
      </w:tr>
      <w:tr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RBC (×10⁶/µL)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5.1 ± 0.4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5.0 ± 0.4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4.9 ± 0.3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4.8 ± 0.4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adverse anemia; within normal limits</w:t>
            </w:r>
          </w:p>
        </w:tc>
      </w:tr>
      <w:tr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Platelets (×10³/µL)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342 ± 54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330 ± 48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322 ± 46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308 ± 42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thrombocytopenia; within range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* p&lt;0.05, ** p&lt;0.01 vs vehicle (mixed model ANOVA, Dunnett's post-test). All parameters reversed to control levels by Day 141 recovery necropsy.</w:t>
      </w:r>
    </w:p>
    <w:p>
      <w:pPr>
        <w:spacing w:before="80" w:after="8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2.4 Clinical Chemistry — Cycle 7 (Day 85)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200"/>
        <w:gridCol w:w="1200"/>
        <w:gridCol w:w="1200"/>
        <w:gridCol w:w="1200"/>
        <w:gridCol w:w="2400"/>
      </w:tblGrid>
      <w:tr>
        <w:tc>
          <w:tcPr>
            <w:tcW w:type="dxa" w:w="1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Vehicle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 mg/kg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 mg/kg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30 mg/kg</w:t>
            </w:r>
          </w:p>
        </w:tc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Assessment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 (U/L)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± 8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 ± 10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 ± 14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58 ± 18 *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↑ ALT at 30 mg/kg; ≤2× ULN; no Hy's Law criteria; NON-ADVERSE immune-mediated hepatic change; reversible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AST (U/L)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 ± 10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 ± 12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 ± 14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 ± 20 *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↑ AST at 30 mg/kg; ≤2× ULN; no morphological correlate in histopathology; reversible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bilirubin (mg/dL)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0.24 ± 0.06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0.26 ± 0.08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0.28 ± 0.08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0.30 ± 0.10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Within normal limits; Hy's Law criteria NOT met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Creatinine (mg/dL)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0.70 ± 0.10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0.72 ± 0.12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0.74 ± 0.12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0.76 ± 0.14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renal impairment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CRP (mg/L)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2.8 ± 1.4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3.2 ± 1.6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5.4 ± 2.2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8.2 ± 3.4 *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↑ Acute phase protein at 30 mg/kg; consistent with immune activation; NON-ADVERSE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Thyroid function (TSH, T4)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WNL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WNL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WNL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1/10: T4 ↓ (Grade 1 hypothyroidism)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Incidental; 1 animal (10% incidence); consistent with irAE class effect; assessed NON-ADVERSE at this frequency</w:t>
            </w:r>
          </w:p>
        </w:tc>
      </w:tr>
    </w:tbl>
    <w:p>
      <w:pPr>
        <w:spacing w:before="80" w:after="8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2.5 Histopathology — Pivotal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840"/>
        <w:gridCol w:w="840"/>
        <w:gridCol w:w="840"/>
        <w:gridCol w:w="840"/>
        <w:gridCol w:w="3120"/>
      </w:tblGrid>
      <w:tr>
        <w:tc>
          <w:tcPr>
            <w:tcW w:type="dxa" w:w="1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Tissue / Finding</w:t>
            </w:r>
          </w:p>
        </w:tc>
        <w:tc>
          <w:tcPr>
            <w:tcW w:type="dxa" w:w="8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Veh</w:t>
            </w:r>
          </w:p>
        </w:tc>
        <w:tc>
          <w:tcPr>
            <w:tcW w:type="dxa" w:w="8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 mg/kg</w:t>
            </w:r>
          </w:p>
        </w:tc>
        <w:tc>
          <w:tcPr>
            <w:tcW w:type="dxa" w:w="8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 mg/kg</w:t>
            </w:r>
          </w:p>
        </w:tc>
        <w:tc>
          <w:tcPr>
            <w:tcW w:type="dxa" w:w="8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30 mg/kg</w:t>
            </w:r>
          </w:p>
        </w:tc>
        <w:tc>
          <w:tcPr>
            <w:tcW w:type="dxa" w:w="31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Pathologist Assessment</w:t>
            </w:r>
          </w:p>
        </w:tc>
      </w:tr>
      <w:tr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Spleen: lymphoid hyperplasia</w:t>
            </w:r>
          </w:p>
        </w:tc>
        <w:tc>
          <w:tcPr>
            <w:tcW w:type="dxa" w:w="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0/10</w:t>
            </w:r>
          </w:p>
        </w:tc>
        <w:tc>
          <w:tcPr>
            <w:tcW w:type="dxa" w:w="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2/10 (Gr1)</w:t>
            </w:r>
          </w:p>
        </w:tc>
        <w:tc>
          <w:tcPr>
            <w:tcW w:type="dxa" w:w="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5/10 (Gr1)</w:t>
            </w:r>
          </w:p>
        </w:tc>
        <w:tc>
          <w:tcPr>
            <w:tcW w:type="dxa" w:w="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8/10 (Gr1-2)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ON-TARGET pharmacology; dose-related; all Grade 1–2 (minimal–mild); REVERSIBLE at Day 141; NON-ADVERSE</w:t>
            </w:r>
          </w:p>
        </w:tc>
      </w:tr>
      <w:tr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Mesenteric lymph node: lymphoid expansion</w:t>
            </w:r>
          </w:p>
        </w:tc>
        <w:tc>
          <w:tcPr>
            <w:tcW w:type="dxa" w:w="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0/10</w:t>
            </w:r>
          </w:p>
        </w:tc>
        <w:tc>
          <w:tcPr>
            <w:tcW w:type="dxa" w:w="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1/10</w:t>
            </w:r>
          </w:p>
        </w:tc>
        <w:tc>
          <w:tcPr>
            <w:tcW w:type="dxa" w:w="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3/10 (Gr1)</w:t>
            </w:r>
          </w:p>
        </w:tc>
        <w:tc>
          <w:tcPr>
            <w:tcW w:type="dxa" w:w="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6/10 (Gr1-2)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ON-TARGET; consistent with systemic immune activation; NON-ADVERSE</w:t>
            </w:r>
          </w:p>
        </w:tc>
      </w:tr>
      <w:tr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Colon: mixed inflammatory infiltrate</w:t>
            </w:r>
          </w:p>
        </w:tc>
        <w:tc>
          <w:tcPr>
            <w:tcW w:type="dxa" w:w="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0/10</w:t>
            </w:r>
          </w:p>
        </w:tc>
        <w:tc>
          <w:tcPr>
            <w:tcW w:type="dxa" w:w="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0/10</w:t>
            </w:r>
          </w:p>
        </w:tc>
        <w:tc>
          <w:tcPr>
            <w:tcW w:type="dxa" w:w="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0/10</w:t>
            </w:r>
          </w:p>
        </w:tc>
        <w:tc>
          <w:tcPr>
            <w:tcW w:type="dxa" w:w="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1/10 (Gr1 colitis)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ADVERSE finding — 1 animal with Grade 1 colitis (minimal) at 30 mg/kg; no Grade 2+; reversed by Day 141; Adverse at 30 mg/kg in 1/10 animals</w:t>
            </w:r>
          </w:p>
        </w:tc>
      </w:tr>
      <w:tr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Liver: periportal lymphocytic infiltrate</w:t>
            </w:r>
          </w:p>
        </w:tc>
        <w:tc>
          <w:tcPr>
            <w:tcW w:type="dxa" w:w="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0/10</w:t>
            </w:r>
          </w:p>
        </w:tc>
        <w:tc>
          <w:tcPr>
            <w:tcW w:type="dxa" w:w="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0/10</w:t>
            </w:r>
          </w:p>
        </w:tc>
        <w:tc>
          <w:tcPr>
            <w:tcW w:type="dxa" w:w="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1/10 (Gr1)</w:t>
            </w:r>
          </w:p>
        </w:tc>
        <w:tc>
          <w:tcPr>
            <w:tcW w:type="dxa" w:w="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2/10 (Gr1)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Minimal periportal infiltrate; no hepatocyte necrosis; correlates with mild ALT ↑; NON-ADVERSE at 10 mg/kg; EQUIVOCAL at 30 mg/kg (1 vs 1 background)</w:t>
            </w:r>
          </w:p>
        </w:tc>
      </w:tr>
      <w:tr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Lung: minimal alveolar macrophage increase</w:t>
            </w:r>
          </w:p>
        </w:tc>
        <w:tc>
          <w:tcPr>
            <w:tcW w:type="dxa" w:w="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0/10</w:t>
            </w:r>
          </w:p>
        </w:tc>
        <w:tc>
          <w:tcPr>
            <w:tcW w:type="dxa" w:w="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0/10</w:t>
            </w:r>
          </w:p>
        </w:tc>
        <w:tc>
          <w:tcPr>
            <w:tcW w:type="dxa" w:w="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0/10</w:t>
            </w:r>
          </w:p>
        </w:tc>
        <w:tc>
          <w:tcPr>
            <w:tcW w:type="dxa" w:w="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1/10 (Gr1)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Incidental; NON-ADVERSE; no pneumonitis</w:t>
            </w:r>
          </w:p>
        </w:tc>
      </w:tr>
      <w:tr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Heart / thyroid / kidney / brain</w:t>
            </w:r>
          </w:p>
        </w:tc>
        <w:tc>
          <w:tcPr>
            <w:tcW w:type="dxa" w:w="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WNL</w:t>
            </w:r>
          </w:p>
        </w:tc>
        <w:tc>
          <w:tcPr>
            <w:tcW w:type="dxa" w:w="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WNL</w:t>
            </w:r>
          </w:p>
        </w:tc>
        <w:tc>
          <w:tcPr>
            <w:tcW w:type="dxa" w:w="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WNL</w:t>
            </w:r>
          </w:p>
        </w:tc>
        <w:tc>
          <w:tcPr>
            <w:tcW w:type="dxa" w:w="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WNL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myocarditis, thyroiditis, nephritis, or encephalitis</w:t>
            </w:r>
          </w:p>
        </w:tc>
      </w:tr>
    </w:tbl>
    <w:p>
      <w:pPr>
        <w:spacing w:before="80" w:after="80"/>
      </w:pPr>
    </w:p>
    <w:p>
      <w:pPr>
        <w:pStyle w:val="Heading1"/>
        <w:pBdr>
          <w:bottom w:val="single" w:color="2E6DA4" w:sz="8" w:space="1"/>
        </w:pBdr>
        <w:spacing w:before="320" w:after="14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NOAEL and LOAEL Determinations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2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13-Week Repeat-Dose Determination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NOAEL: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10 mg/kg IV Q2W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NOAEL Basis: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adverse findings at 10 mg/kg. Immunophenotypic changes (↑ CD8+, ↑ WBC) and spleen/lymph node lymphoid expansion are pharmacological effects classified as NON-ADVERSE. ALT elevation at 10 mg/kg was minimal (≤1.4× ULN, no histopathological correlate). No colitis, hepatitis, or other immune-mediated adverse effects at 10 mg/kg.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LOAEL: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30 mg/kg IV Q2W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LOAEL Basis: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Grade 1 colitis in 1/10 animals (10% incidence) plus ALT/AST elevation ≤2× ULN with hepatic periportal infiltrate in 2/10 animals at 30 mg/kg. These findings, while minimal/reversible, represent the lowest observed adverse effects.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HNSTD: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mg/kg (based on absence of severe toxicity at LOAEL; HNSTD = highest dose without severely toxic effects). Supports FIH dose = 1/6 × 10 = 1.67 mg/kg. Combined with MABEL of 0.8 mg/kg → proposed FIH = 1 mg/kg IV Q3W (conservative).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Reversibility: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findings at LOAEL (30 mg/kg) were fully reversed at 8-week recovery necropsy (Day 141). Supports reversible/manageable toxicity profile.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Human relevance of findings: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Colitis, hepatitis (ALT elevation), and lymphocytosis are fully consistent with the established irAE profile of approved PD-1 inhibitors (pembrolizumab, nivolumab). These class effects are managed clinically with corticosteroids and dose modifications.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Study Director: [Name, DVM, PhD, DACVP] | Sponsor Study Monitor: Dr. [Name] | QA: 100% data audit completed | 21 CFR 58.185 Final Report signed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MOS-GLP-TOX-2022-002 v3.1  |  Pg </w:t>
    </w:r>
    <w:pgNum/>
    <w:r>
      <w:rPr>
        <w:rFonts w:ascii="Arial" w:cs="Arial" w:eastAsia="Arial" w:hAnsi="Arial"/>
        <w:color w:val="888888"/>
        <w:sz w:val="16"/>
        <w:szCs w:val="16"/>
      </w:rPr>
      <w:t xml:space="preserve">  |  Cervimab Toxicology Program  |  21 CFR 312.23(a)(8)  |  © 2022 Meridian Oncology Sciences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/>
      </w:pBdr>
    </w:pPr>
    <w:r>
      <w:rPr>
        <w:rFonts w:ascii="Arial" w:cs="Arial" w:eastAsia="Arial" w:hAnsi="Arial"/>
        <w:b/>
        <w:bCs/>
        <w:color w:val="1A3A5C"/>
        <w:sz w:val="16"/>
        <w:szCs w:val="16"/>
      </w:rPr>
      <w:t xml:space="preserve">MERIDIAN ONCOLOGY SCIENCES  |  </w:t>
    </w:r>
    <w:r>
      <w:rPr>
        <w:rFonts w:ascii="Arial" w:cs="Arial" w:eastAsia="Arial" w:hAnsi="Arial"/>
        <w:color w:val="555555"/>
        <w:sz w:val="16"/>
        <w:szCs w:val="16"/>
      </w:rPr>
      <w:t xml:space="preserve">GLP 13-Week Repeat-Dose Toxicology Study</w:t>
    </w:r>
    <w:r>
      <w:rPr>
        <w:rFonts w:ascii="Arial" w:cs="Arial" w:eastAsia="Arial" w:hAnsi="Arial"/>
        <w:color w:val="888888"/>
        <w:sz w:val="16"/>
        <w:szCs w:val="16"/>
      </w:rPr>
      <w:t xml:space="preserve">  |  GLP / IND SUPPORTING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40"/>
      <w:outlineLvl w:val="0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color w:val="2E6DA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2026-03-15T18:31:56.653Z</dcterms:created>
  <dcterms:modified xsi:type="dcterms:W3CDTF">2026-03-15T18:31:56.654Z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