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5C"/>
          <w:sz w:val="30"/>
          <w:szCs w:val="30"/>
        </w:rPr>
        <w:t xml:space="preserve">MERIDIAN ONCOLOGY SCIENCES, INC.</w:t>
      </w:r>
    </w:p>
    <w:p>
      <w:pPr>
        <w:spacing w:before="0" w:after="40"/>
        <w:jc w:val="center"/>
      </w:pPr>
      <w:r>
        <w:rPr>
          <w:rFonts w:ascii="Arial" w:cs="Arial" w:eastAsia="Arial" w:hAnsi="Arial"/>
          <w:color w:val="555555"/>
          <w:sz w:val="20"/>
          <w:szCs w:val="20"/>
        </w:rPr>
        <w:t xml:space="preserve">Nonclinical Safety &amp; Pharmacokinetics Division</w:t>
      </w:r>
    </w:p>
    <w:p>
      <w:pPr>
        <w:spacing w:before="80" w:after="80"/>
      </w:pPr>
    </w:p>
    <w:p>
      <w:pPr>
        <w:pBdr>
          <w:top w:val="single" w:color="1A3A5C" w:sz="10"/>
          <w:bottom w:val="single" w:color="1A3A5C" w:sz="10"/>
        </w:pBdr>
        <w:spacing w:before="360" w:after="180"/>
        <w:jc w:val="center"/>
      </w:pPr>
      <w:r>
        <w:rPr>
          <w:rFonts w:ascii="Arial" w:cs="Arial" w:eastAsia="Arial" w:hAnsi="Arial"/>
          <w:b/>
          <w:bCs/>
          <w:color w:val="1A3A5C"/>
          <w:sz w:val="38"/>
          <w:szCs w:val="38"/>
        </w:rPr>
        <w:t xml:space="preserve">NOAEL/LOAEL Determination Report</w:t>
      </w:r>
    </w:p>
    <w:p>
      <w:pPr>
        <w:spacing w:before="120" w:after="360"/>
        <w:jc w:val="center"/>
      </w:pPr>
      <w:r>
        <w:rPr>
          <w:rFonts w:ascii="Arial" w:cs="Arial" w:eastAsia="Arial" w:hAnsi="Arial"/>
          <w:i/>
          <w:iCs/>
          <w:color w:val="444444"/>
          <w:sz w:val="24"/>
          <w:szCs w:val="24"/>
        </w:rPr>
        <w:t xml:space="preserve">Cervimab — Integrated Nonclinical Safety Assessment | FIH Dose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Document Number:</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MOS-NOAEL-2022-003</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Version: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v2.2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Date:</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2022-11-28</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Study Drug:</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Cervimab (MOS-PD1-047) | Fully Human IgG4 S228P Anti-PD-1 mAb</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IND:</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IND 135-892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GLP Status: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Regulatory Summary — Non-GLP | Based on GLP Studies MOS-GLP-TOX-2021-001 and MOS-GLP-TOX-2022-002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Regulatory Basis: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 CFR 312.23(a)(8); ICH S9; ICH S6(R1); ICH S3A; 21 CFR 58 (GLP)</w:t>
            </w:r>
          </w:p>
        </w:tc>
      </w:tr>
    </w:tbl>
    <w:p>
      <w:pPr>
        <w:spacing w:before="80" w:after="80"/>
      </w:pPr>
    </w:p>
    <w:p>
      <w:pPr>
        <w:spacing w:before="60" w:after="60"/>
      </w:pPr>
      <w:r>
        <w:rPr>
          <w:rFonts w:ascii="Arial" w:cs="Arial" w:eastAsia="Arial" w:hAnsi="Arial"/>
          <w:i/>
          <w:iCs/>
          <w:color w:val="555555"/>
          <w:sz w:val="18"/>
          <w:szCs w:val="18"/>
        </w:rPr>
        <w:t xml:space="preserve">CONFIDENTIAL — This document contains proprietary preclinical safety information supporting IND 135-892. Distribution restricted to the IND working group and regulatory authorities. Prepared per FDA GLP regulations (21 CFR Part 58) and ICH M4S CTD format.</w:t>
      </w:r>
    </w:p>
    <w:p>
      <w:r>
        <w:br w:type="page"/>
      </w:r>
    </w:p>
    <w:p>
      <w:pPr>
        <w:pStyle w:val="Heading1"/>
        <w:pBdr>
          <w:bottom w:val="single" w:color="2E6DA4" w:sz="8" w:space="1"/>
        </w:pBdr>
        <w:spacing w:before="320" w:after="140"/>
      </w:pPr>
      <w:r>
        <w:rPr>
          <w:rFonts w:ascii="Arial" w:cs="Arial" w:eastAsia="Arial" w:hAnsi="Arial"/>
          <w:b/>
          <w:bCs/>
          <w:color w:val="1A3A5C"/>
          <w:sz w:val="28"/>
          <w:szCs w:val="28"/>
        </w:rPr>
        <w:t xml:space="preserve">1. Purpose and Scope</w:t>
      </w:r>
    </w:p>
    <w:p>
      <w:pPr>
        <w:spacing w:before="60" w:after="60"/>
      </w:pPr>
      <w:r>
        <w:rPr>
          <w:rFonts w:ascii="Arial" w:cs="Arial" w:eastAsia="Arial" w:hAnsi="Arial"/>
          <w:sz w:val="20"/>
          <w:szCs w:val="20"/>
        </w:rPr>
        <w:t xml:space="preserve">This report integrates nonclinical toxicology findings from all completed Cervimab preclinical studies to establish the NOAEL, LOAEL, and HNSTD for the cynomolgus monkey (the sole pharmacologically relevant toxicology species), and to derive and justify the proposed First-In-Human (FIH) starting dose per ICH S9, ICH S6(R1), and FDA FIH Dose Guidance (2005, updated 2016).</w:t>
      </w:r>
    </w:p>
    <w:p>
      <w:pPr>
        <w:spacing w:before="60" w:after="60"/>
      </w:pPr>
      <w:r>
        <w:rPr>
          <w:rFonts w:ascii="Arial" w:cs="Arial" w:eastAsia="Arial" w:hAnsi="Arial"/>
          <w:sz w:val="20"/>
          <w:szCs w:val="20"/>
        </w:rPr>
        <w:t xml:space="preserve">No rodent toxicology studies were conducted, in accordance with ICH S9 (monoclonal antibodies for oncology indications — single-species NHP studies are acceptable when the rodent is not a pharmacologically relevant species, as confirmed by absence of mouse PD-1 cross-reactivity, KD &gt;10 µM). Genotoxicity and carcinogenicity studies are not required per ICH S9 for anticancer biologics.</w:t>
      </w:r>
    </w:p>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2. Summary of All Nonclinical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320"/>
        <w:gridCol w:w="1320"/>
        <w:gridCol w:w="1320"/>
        <w:gridCol w:w="2520"/>
      </w:tblGrid>
      <w:tr>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Study (GLP)</w:t>
            </w:r>
          </w:p>
        </w:tc>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Species</w:t>
            </w:r>
          </w:p>
        </w:tc>
        <w:tc>
          <w:tcPr>
            <w:tcW w:type="dxa" w:w="132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Route / Sched.</w:t>
            </w:r>
          </w:p>
        </w:tc>
        <w:tc>
          <w:tcPr>
            <w:tcW w:type="dxa" w:w="132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Doses (mg/kg)</w:t>
            </w:r>
          </w:p>
        </w:tc>
        <w:tc>
          <w:tcPr>
            <w:tcW w:type="dxa" w:w="132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252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NOAEL (mg/kg)</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MOS-GLP-TOX-2021-001 (GLP)</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Cyno (n=4M+4F)</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IV / SD</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0, 30, 100</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SD + 14d recovery</w:t>
            </w:r>
          </w:p>
        </w:tc>
        <w:tc>
          <w:tcPr>
            <w:tcW w:type="dxa" w:w="252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100 (HNSTD ≥100)</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MOS-GLP-TOX-2022-002 (GLP)</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Cyno (n=5M+5F)</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IV Q2W × 7 doses</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0, 3, 10, 30</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13 wk + 8 wk rec</w:t>
            </w:r>
          </w:p>
        </w:tc>
        <w:tc>
          <w:tcPr>
            <w:tcW w:type="dxa" w:w="252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10 (HNSTD 10; LOAEL 30)</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MOS-PK-2021-004 (non-GLP)</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Cyno (n=3M+3F)</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IV / SD</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 5, 20 mg/kg</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PK only, 28d</w:t>
            </w:r>
          </w:p>
        </w:tc>
        <w:tc>
          <w:tcPr>
            <w:tcW w:type="dxa" w:w="25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N/A (PK/TK study)</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Tissue cross-reactivity IHC (GLP)</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Human / Cyno tissues</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N/A</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N/A</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In vitro</w:t>
            </w:r>
          </w:p>
        </w:tc>
        <w:tc>
          <w:tcPr>
            <w:tcW w:type="dxa" w:w="25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On-target lymphoid staining only; no unexpected binding</w:t>
            </w:r>
          </w:p>
        </w:tc>
      </w:tr>
    </w:tbl>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3. NOAEL/HNSTD by Endpoint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1440"/>
        <w:gridCol w:w="3840"/>
      </w:tblGrid>
      <w:tr>
        <w:tc>
          <w:tcPr>
            <w:tcW w:type="dxa" w:w="26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Toxicology Endpoint</w:t>
            </w:r>
          </w:p>
        </w:tc>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NOAEL (mg/kg)</w:t>
            </w:r>
          </w:p>
        </w:tc>
        <w:tc>
          <w:tcPr>
            <w:tcW w:type="dxa" w:w="14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LOAEL (mg/kg)</w:t>
            </w:r>
          </w:p>
        </w:tc>
        <w:tc>
          <w:tcPr>
            <w:tcW w:type="dxa" w:w="38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Basis and Adverse Finding at LOAEL</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Gastrointestinal (colitis)</w:t>
            </w:r>
          </w:p>
        </w:tc>
        <w:tc>
          <w:tcPr>
            <w:tcW w:type="dxa" w:w="14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10</w:t>
            </w:r>
          </w:p>
        </w:tc>
        <w:tc>
          <w:tcPr>
            <w:tcW w:type="dxa" w:w="1440"/>
            <w:tcBorders>
              <w:top w:val="single" w:color="BFBFBF" w:sz="1"/>
              <w:left w:val="single" w:color="BFBFBF" w:sz="1"/>
              <w:bottom w:val="single" w:color="BFBFBF" w:sz="1"/>
              <w:right w:val="single" w:color="BFBFBF" w:sz="1"/>
            </w:tcBorders>
            <w:shd w:fill="FFCCCC" w:val="clear"/>
            <w:tcMar>
              <w:top w:type="dxa" w:w="70"/>
              <w:left w:type="dxa" w:w="120"/>
              <w:bottom w:type="dxa" w:w="70"/>
              <w:right w:type="dxa" w:w="120"/>
            </w:tcMar>
          </w:tcPr>
          <w:p>
            <w:r>
              <w:rPr>
                <w:rFonts w:ascii="Arial" w:cs="Arial" w:eastAsia="Arial" w:hAnsi="Arial"/>
                <w:b/>
                <w:bCs/>
                <w:color w:val="8B0000"/>
                <w:sz w:val="18"/>
                <w:szCs w:val="18"/>
              </w:rPr>
              <w:t xml:space="preserve">30</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Grade 1 colitis in 1/10 cyno at 30 mg/kg Day 57; 10% incidence; Grade 1 (minimal); reversible; pharmacologically plausible (PD-1 blockade in colon lamina propria)</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Hepatic (ALT/AST, periportal infiltrate)</w:t>
            </w:r>
          </w:p>
        </w:tc>
        <w:tc>
          <w:tcPr>
            <w:tcW w:type="dxa" w:w="14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10</w:t>
            </w:r>
          </w:p>
        </w:tc>
        <w:tc>
          <w:tcPr>
            <w:tcW w:type="dxa" w:w="1440"/>
            <w:tcBorders>
              <w:top w:val="single" w:color="BFBFBF" w:sz="1"/>
              <w:left w:val="single" w:color="BFBFBF" w:sz="1"/>
              <w:bottom w:val="single" w:color="BFBFBF" w:sz="1"/>
              <w:right w:val="single" w:color="BFBFBF" w:sz="1"/>
            </w:tcBorders>
            <w:shd w:fill="FFCCCC" w:val="clear"/>
            <w:tcMar>
              <w:top w:type="dxa" w:w="70"/>
              <w:left w:type="dxa" w:w="120"/>
              <w:bottom w:type="dxa" w:w="70"/>
              <w:right w:type="dxa" w:w="120"/>
            </w:tcMar>
          </w:tcPr>
          <w:p>
            <w:r>
              <w:rPr>
                <w:rFonts w:ascii="Arial" w:cs="Arial" w:eastAsia="Arial" w:hAnsi="Arial"/>
                <w:b/>
                <w:bCs/>
                <w:color w:val="8B0000"/>
                <w:sz w:val="18"/>
                <w:szCs w:val="18"/>
              </w:rPr>
              <w:t xml:space="preserve">30</w:t>
            </w:r>
          </w:p>
        </w:tc>
        <w:tc>
          <w:tcPr>
            <w:tcW w:type="dxa" w:w="3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ALT/AST ≤2× ULN at 30 mg/kg with periportal lymphocytic infiltrate (Gr1) in 2/10; no necrosis; reversible; Hy's Law NOT met</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Immune (lymphocytosis, splenomegaly)</w:t>
            </w:r>
          </w:p>
        </w:tc>
        <w:tc>
          <w:tcPr>
            <w:tcW w:type="dxa" w:w="14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Not adverse — pharmacological</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N/A</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CD8+ expansion, spleen lymphoid hyperplasia, lymphocytosis: classified as ON-TARGET pharmacological effects at all doses; NOT adverse</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Endocrine (thyroid)</w:t>
            </w:r>
          </w:p>
        </w:tc>
        <w:tc>
          <w:tcPr>
            <w:tcW w:type="dxa" w:w="14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30 (1 incidental at 30)</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Not identified</w:t>
            </w:r>
          </w:p>
        </w:tc>
        <w:tc>
          <w:tcPr>
            <w:tcW w:type="dxa" w:w="3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1/10 animal with Grade 1 hypothyroidism at 30 mg/kg; incidental finding; 10% incidence; non-statistically-significant; borderline adverse classification</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Cardiovascular (ECG, BP)</w:t>
            </w:r>
          </w:p>
        </w:tc>
        <w:tc>
          <w:tcPr>
            <w:tcW w:type="dxa" w:w="14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≥30 (SD); ≥30 (RD)</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Not identified</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ECG changes (QTc, PR, QRS), no arrhythmia, no BP effects at any dose or timepoint</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Renal (creatinine, BUN, histopathology)</w:t>
            </w:r>
          </w:p>
        </w:tc>
        <w:tc>
          <w:tcPr>
            <w:tcW w:type="dxa" w:w="14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≥30 (both studies)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Not identified</w:t>
            </w:r>
          </w:p>
        </w:tc>
        <w:tc>
          <w:tcPr>
            <w:tcW w:type="dxa" w:w="3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 nephritis, no creatinine elevation, no proteinuria, no glomerular or tubular changes. Relevant given post-approval nephritis signal in class.</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Pulmonary (histopathology)</w:t>
            </w:r>
          </w:p>
        </w:tc>
        <w:tc>
          <w:tcPr>
            <w:tcW w:type="dxa" w:w="144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≥30 (both studies)</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Not identified</w:t>
            </w:r>
          </w:p>
        </w:tc>
        <w:tc>
          <w:tcPr>
            <w:tcW w:type="dxa" w:w="3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 pneumonitis in either study. 1 incidental alveolar macrophage increase at 30 mg/kg (non-adverse background finding).</w:t>
            </w:r>
          </w:p>
        </w:tc>
      </w:tr>
    </w:tbl>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4. FIH Starting Dose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Calculated FIH dose</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Basis</w:t>
            </w:r>
          </w:p>
        </w:tc>
        <w:tc>
          <w:tcPr>
            <w:tcW w:type="dxa" w:w="36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 for Selection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ICH S9: 1/6 × HNSTD</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1/6 × 10 = 1.67 mg/kg</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HNSTD = 10 mg/kg (13-wk RD)</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Standard ICH S9 approach for non-rodent. Conservative but supported by absence of dose-limiting toxicity at HNSTD.</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MABEL (receptor occupancy)</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~0.8 mg/kg IV</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20–30% RO at EC₂₀ (~0.1 nM in vitro → allometric scale)</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Preferred approach per FDA Guidance on FIH Dose (2005). Most conservative, driven by pharmacology not toxicology.</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SELECTED FIH START DOSE:</w:t>
            </w:r>
          </w:p>
        </w:tc>
        <w:tc>
          <w:tcPr>
            <w:tcW w:type="dxa" w:w="16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1 mg/kg IV Q3W</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More conservative than 1/6 HNSTD; brackets MABEL (below 1/6 HNSTD); aligns with class precedent (pembrolizumab started at 1 mg/kg Phase 1)</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 mg/kg provides: &gt;10-fold safety margin vs LOAEL (30 mg/kg); ~25% RO (pharmacologically active, below saturation); clinical precedent for PD-1 class; acceptable starting dose for oncology patients with advanced cancer.</w:t>
            </w:r>
          </w:p>
        </w:tc>
      </w:tr>
    </w:tbl>
    <w:p>
      <w:pPr>
        <w:spacing w:before="80" w:after="80"/>
      </w:pPr>
    </w:p>
    <w:p>
      <w:pPr>
        <w:pStyle w:val="Heading2"/>
        <w:spacing w:before="220" w:after="100"/>
      </w:pPr>
      <w:r>
        <w:rPr>
          <w:rFonts w:ascii="Arial" w:cs="Arial" w:eastAsia="Arial" w:hAnsi="Arial"/>
          <w:b/>
          <w:bCs/>
          <w:color w:val="2E6DA4"/>
          <w:sz w:val="22"/>
          <w:szCs w:val="22"/>
        </w:rPr>
        <w:t xml:space="preserve">4.1 Exposure-Based Safety Margins at FIH Dose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3360"/>
      </w:tblGrid>
      <w:tr>
        <w:tc>
          <w:tcPr>
            <w:tcW w:type="dxa" w:w="26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Comparison</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Cyno AUC (µg·h/mL)</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Safety Margin</w:t>
            </w:r>
          </w:p>
        </w:tc>
        <w:tc>
          <w:tcPr>
            <w:tcW w:type="dxa" w:w="33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NOAEL (10 mg/kg Q2W, cycle 7)</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~14,200 (C7 AUC₀₋₁₄)</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w:t>
            </w:r>
          </w:p>
        </w:tc>
        <w:tc>
          <w:tcPr>
            <w:tcW w:type="dxa" w:w="3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Highest safe exposure in 13-week study</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LOAEL (30 mg/kg Q2W, cycle 7)</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~46,800 (C7 AUC₀₋₁₄)</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3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Lowest exposure causing adverse effect</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FIH proposed dose (1 mg/kg Q3W, C1 predicted)</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~1,420 (predicted AUC₀₋₂₁)</w:t>
            </w:r>
          </w:p>
        </w:tc>
        <w:tc>
          <w:tcPr>
            <w:tcW w:type="dxa" w:w="168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10× vs NOAEL; 33× vs LOAEL</w:t>
            </w:r>
          </w:p>
        </w:tc>
        <w:tc>
          <w:tcPr>
            <w:tcW w:type="dxa" w:w="3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Adequate safety margin. Human AUC predicted from cyno using species-scaling (CL 0.22 mL/h/kg human predicted).</w:t>
            </w:r>
          </w:p>
        </w:tc>
      </w:tr>
    </w:tbl>
    <w:p>
      <w:pPr>
        <w:spacing w:before="80" w:after="80"/>
      </w:pPr>
    </w:p>
    <w:p>
      <w:pPr>
        <w:spacing w:before="60" w:after="60"/>
      </w:pPr>
      <w:r>
        <w:rPr>
          <w:rFonts w:ascii="Arial" w:cs="Arial" w:eastAsia="Arial" w:hAnsi="Arial"/>
          <w:i/>
          <w:iCs/>
          <w:color w:val="555555"/>
          <w:sz w:val="18"/>
          <w:szCs w:val="18"/>
        </w:rPr>
        <w:t xml:space="preserve">Regulatory Basis: ICH S9 (2009), ICH S9 Q&amp;A (2018), ICH S6(R1) (2011), FDA FIH Dose Guidance (2005), FDA oncology dose optimization guidance (2022). NOAEL report prepared by: Nonclinical Safety Group, Meridian Oncology Sciences.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color w:val="888888"/>
        <w:sz w:val="16"/>
        <w:szCs w:val="16"/>
      </w:rPr>
      <w:t xml:space="preserve">MOS-NOAEL-2022-003 v2.2  |  Pg </w:t>
    </w:r>
    <w:pgNum/>
    <w:r>
      <w:rPr>
        <w:rFonts w:ascii="Arial" w:cs="Arial" w:eastAsia="Arial" w:hAnsi="Arial"/>
        <w:color w:val="888888"/>
        <w:sz w:val="16"/>
        <w:szCs w:val="16"/>
      </w:rPr>
      <w:t xml:space="preserve">  |  Cervimab Toxicology Program  |  21 CFR 312.23(a)(8)  |  © 2022 Meridian Oncology Sciences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pPr>
    <w:r>
      <w:rPr>
        <w:rFonts w:ascii="Arial" w:cs="Arial" w:eastAsia="Arial" w:hAnsi="Arial"/>
        <w:b/>
        <w:bCs/>
        <w:color w:val="1A3A5C"/>
        <w:sz w:val="16"/>
        <w:szCs w:val="16"/>
      </w:rPr>
      <w:t xml:space="preserve">MERIDIAN ONCOLOGY SCIENCES  |  </w:t>
    </w:r>
    <w:r>
      <w:rPr>
        <w:rFonts w:ascii="Arial" w:cs="Arial" w:eastAsia="Arial" w:hAnsi="Arial"/>
        <w:color w:val="555555"/>
        <w:sz w:val="16"/>
        <w:szCs w:val="16"/>
      </w:rPr>
      <w:t xml:space="preserve">NOAEL/LOAEL Determination &amp; FIH Dose Justification</w:t>
    </w:r>
    <w:r>
      <w:rPr>
        <w:rFonts w:ascii="Arial" w:cs="Arial" w:eastAsia="Arial" w:hAnsi="Arial"/>
        <w:color w:val="888888"/>
        <w:sz w:val="16"/>
        <w:szCs w:val="16"/>
      </w:rPr>
      <w:t xml:space="preserve">  |  GLP / IND SUPPORTING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A5C"/>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2026-03-15T18:31:56.756Z</dcterms:created>
  <dcterms:modified xsi:type="dcterms:W3CDTF">2026-03-15T18:31:56.756Z</dcterms:modified>
</cp:coreProperties>
</file>

<file path=docProps/custom.xml><?xml version="1.0" encoding="utf-8"?>
<Properties xmlns="http://schemas.openxmlformats.org/officeDocument/2006/custom-properties" xmlns:vt="http://schemas.openxmlformats.org/officeDocument/2006/docPropsVTypes"/>
</file>