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3A5C"/>
          <w:sz w:val="30"/>
          <w:szCs w:val="30"/>
        </w:rPr>
        <w:t xml:space="preserve">MERIDIAN ONCOLOGY SCIENCES, INC.</w:t>
      </w:r>
    </w:p>
    <w:p>
      <w:pPr>
        <w:spacing w:before="0" w:after="40"/>
        <w:jc w:val="center"/>
      </w:pPr>
      <w:r>
        <w:rPr>
          <w:rFonts w:ascii="Arial" w:cs="Arial" w:eastAsia="Arial" w:hAnsi="Arial"/>
          <w:color w:val="555555"/>
          <w:sz w:val="20"/>
          <w:szCs w:val="20"/>
        </w:rPr>
        <w:t xml:space="preserve">Nonclinical Safety &amp; Pharmacokinetics Division</w:t>
      </w:r>
    </w:p>
    <w:p>
      <w:pPr>
        <w:spacing w:before="80" w:after="80"/>
      </w:pPr>
    </w:p>
    <w:p>
      <w:pPr>
        <w:pBdr>
          <w:top w:val="single" w:color="1A3A5C" w:sz="10"/>
          <w:bottom w:val="single" w:color="1A3A5C" w:sz="10"/>
        </w:pBdr>
        <w:spacing w:before="360" w:after="180"/>
        <w:jc w:val="center"/>
      </w:pPr>
      <w:r>
        <w:rPr>
          <w:rFonts w:ascii="Arial" w:cs="Arial" w:eastAsia="Arial" w:hAnsi="Arial"/>
          <w:b/>
          <w:bCs/>
          <w:color w:val="1A3A5C"/>
          <w:sz w:val="38"/>
          <w:szCs w:val="38"/>
        </w:rPr>
        <w:t xml:space="preserve">Genotoxicity Battery Results Report</w:t>
      </w:r>
    </w:p>
    <w:p>
      <w:pPr>
        <w:spacing w:before="120" w:after="360"/>
        <w:jc w:val="center"/>
      </w:pPr>
      <w:r>
        <w:rPr>
          <w:rFonts w:ascii="Arial" w:cs="Arial" w:eastAsia="Arial" w:hAnsi="Arial"/>
          <w:i/>
          <w:iCs/>
          <w:color w:val="444444"/>
          <w:sz w:val="24"/>
          <w:szCs w:val="24"/>
        </w:rPr>
        <w:t xml:space="preserve">Cervimab — Genotoxicity Assessment &amp; ICH S9 Waiver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Document Number:</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MOS-GENO-2022-004</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Version: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v1.5</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Date:</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2022-03-22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Study Drug:</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Cervimab (MOS-PD1-047) | Fully Human IgG4 S228P Anti-PD-1 mAb</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IND:</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IND 135-892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GLP Status:</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Regulatory Assessment (Non-GLP) | ICH S9 Waiver Rationale | 21 CFR 312.23(a)(8)</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Regulatory Basis:</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21 CFR 312.23(a)(8); ICH S9; ICH S6(R1); ICH S3A; 21 CFR 58 (GLP)</w:t>
            </w:r>
          </w:p>
        </w:tc>
      </w:tr>
    </w:tbl>
    <w:p>
      <w:pPr>
        <w:spacing w:before="80" w:after="80"/>
      </w:pPr>
    </w:p>
    <w:p>
      <w:pPr>
        <w:spacing w:before="60" w:after="60"/>
      </w:pPr>
      <w:r>
        <w:rPr>
          <w:rFonts w:ascii="Arial" w:cs="Arial" w:eastAsia="Arial" w:hAnsi="Arial"/>
          <w:i/>
          <w:iCs/>
          <w:color w:val="555555"/>
          <w:sz w:val="18"/>
          <w:szCs w:val="18"/>
        </w:rPr>
        <w:t xml:space="preserve">CONFIDENTIAL — This document contains proprietary preclinical safety information supporting IND 135-892. Distribution restricted to the IND working group and regulatory authorities. Prepared per FDA GLP regulations (21 CFR Part 58) and ICH M4S CTD format.</w:t>
      </w:r>
    </w:p>
    <w:p>
      <w:r>
        <w:br w:type="page"/>
      </w:r>
    </w:p>
    <w:p>
      <w:pPr>
        <w:pStyle w:val="Heading1"/>
        <w:pBdr>
          <w:bottom w:val="single" w:color="2E6DA4" w:sz="8" w:space="1"/>
        </w:pBdr>
        <w:spacing w:before="320" w:after="140"/>
      </w:pPr>
      <w:r>
        <w:rPr>
          <w:rFonts w:ascii="Arial" w:cs="Arial" w:eastAsia="Arial" w:hAnsi="Arial"/>
          <w:b/>
          <w:bCs/>
          <w:color w:val="1A3A5C"/>
          <w:sz w:val="28"/>
          <w:szCs w:val="28"/>
        </w:rPr>
        <w:t xml:space="preserve">1. Introduction and ICH S9 Context</w:t>
      </w:r>
    </w:p>
    <w:p>
      <w:pPr>
        <w:spacing w:before="60" w:after="60"/>
      </w:pPr>
      <w:r>
        <w:rPr>
          <w:rFonts w:ascii="Arial" w:cs="Arial" w:eastAsia="Arial" w:hAnsi="Arial"/>
          <w:sz w:val="20"/>
          <w:szCs w:val="20"/>
        </w:rPr>
        <w:t xml:space="preserve">Per ICH S9 (Nonclinical Evaluation for Anticancer Pharmaceuticals, November 2009), routine genotoxicity testing is NOT required for biopharmaceuticals (monoclonal antibodies) intended for the treatment of patients with advanced cancer. This position is grounded in the following scientific rationale:</w:t>
      </w:r>
    </w:p>
    <w:p>
      <w:pPr>
        <w:pStyle w:val="ListParagraph"/>
        <w:numPr>
          <w:ilvl w:val="0"/>
          <w:numId w:val="2"/>
        </w:numPr>
        <w:spacing w:before="40" w:after="40"/>
      </w:pPr>
      <w:r>
        <w:rPr>
          <w:rFonts w:ascii="Arial" w:cs="Arial" w:eastAsia="Arial" w:hAnsi="Arial"/>
          <w:sz w:val="20"/>
          <w:szCs w:val="20"/>
        </w:rPr>
        <w:t xml:space="preserve">Monoclonal antibodies are large protein molecules (~144 kDa) that do not enter the nucleus and are not metabolically converted to reactive electrophilic species capable of direct DNA interaction.</w:t>
      </w:r>
    </w:p>
    <w:p>
      <w:pPr>
        <w:pStyle w:val="ListParagraph"/>
        <w:numPr>
          <w:ilvl w:val="0"/>
          <w:numId w:val="2"/>
        </w:numPr>
        <w:spacing w:before="40" w:after="40"/>
      </w:pPr>
      <w:r>
        <w:rPr>
          <w:rFonts w:ascii="Arial" w:cs="Arial" w:eastAsia="Arial" w:hAnsi="Arial"/>
          <w:sz w:val="20"/>
          <w:szCs w:val="20"/>
        </w:rPr>
        <w:t xml:space="preserve">Cervimab is a fully human IgG4 monoclonal antibody with no reactive functional groups, no intercalating moieties, and no known small-molecule genotoxic impurities at ICH Q3A/Q3B threshold levels.</w:t>
      </w:r>
    </w:p>
    <w:p>
      <w:pPr>
        <w:pStyle w:val="ListParagraph"/>
        <w:numPr>
          <w:ilvl w:val="0"/>
          <w:numId w:val="2"/>
        </w:numPr>
        <w:spacing w:before="40" w:after="40"/>
      </w:pPr>
      <w:r>
        <w:rPr>
          <w:rFonts w:ascii="Arial" w:cs="Arial" w:eastAsia="Arial" w:hAnsi="Arial"/>
          <w:sz w:val="20"/>
          <w:szCs w:val="20"/>
        </w:rPr>
        <w:t xml:space="preserve">The mechanism of action (PD-1 receptor blockade) does not involve DNA-reactive metabolites or oxidative DNA damage.</w:t>
      </w:r>
    </w:p>
    <w:p>
      <w:pPr>
        <w:pStyle w:val="ListParagraph"/>
        <w:numPr>
          <w:ilvl w:val="0"/>
          <w:numId w:val="2"/>
        </w:numPr>
        <w:spacing w:before="40" w:after="40"/>
      </w:pPr>
      <w:r>
        <w:rPr>
          <w:rFonts w:ascii="Arial" w:cs="Arial" w:eastAsia="Arial" w:hAnsi="Arial"/>
          <w:sz w:val="20"/>
          <w:szCs w:val="20"/>
        </w:rPr>
        <w:t xml:space="preserve">ICH S6(R1) explicitly states that genotoxicity testing is not applicable to proteins and peptides.</w:t>
      </w:r>
    </w:p>
    <w:p>
      <w:pPr>
        <w:spacing w:before="80" w:after="80"/>
      </w:pPr>
    </w:p>
    <w:p>
      <w:pPr>
        <w:spacing w:before="60" w:after="60"/>
      </w:pPr>
      <w:r>
        <w:rPr>
          <w:rFonts w:ascii="Arial" w:cs="Arial" w:eastAsia="Arial" w:hAnsi="Arial"/>
          <w:sz w:val="20"/>
          <w:szCs w:val="20"/>
        </w:rPr>
        <w:t xml:space="preserve">Despite the regulatory waiver, Meridian Oncology Sciences conducted a limited genotoxicity assessment as due diligence, focusing on mutagenicity of the formulation excipients and drug substance-related impurities (not the protein itself, per ICH S6R1).</w:t>
      </w:r>
    </w:p>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2. Regulatory Waiver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Assessment Area</w:t>
            </w:r>
          </w:p>
        </w:tc>
        <w:tc>
          <w:tcPr>
            <w:tcW w:type="dxa" w:w="62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Position</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Standard genotoxicity battery (Ames, MN, CA):</w:t>
            </w:r>
          </w:p>
        </w:tc>
        <w:tc>
          <w:tcPr>
            <w:tcW w:type="dxa" w:w="624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NOT REQUIRED — ICH S9 / ICH S6(R1) Waiver Applicable</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ICH S2(R1) battery (in vitro + in vivo):</w:t>
            </w:r>
          </w:p>
        </w:tc>
        <w:tc>
          <w:tcPr>
            <w:tcW w:type="dxa" w:w="624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NOT REQUIRED for mAb therapeutic protein</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ICH S9 basis:</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ICH S9 Section 2.6: 'Genotoxicity studies are not needed for biopharmaceuticals.' Standard Ames/chromosomal aberration/MNT not applicable to proteins.</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ICH S6(R1) basis:</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Section IV: Genotoxicity: 'For proteins and peptides, genotoxicity studies are not warranted given that these molecules do not interact with DNA.'</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Formulation impurity assessment:</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Conducted (see Section 3): all organic/residual solvents and process-related impurities below ICH Q3C/Q3D thresholds; no known genotoxic impurities (NGIs) at concern threshold.</w:t>
            </w:r>
          </w:p>
        </w:tc>
      </w:tr>
    </w:tbl>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3. Formulation and Process Impurity Genotoxicity Assessment</w:t>
      </w:r>
    </w:p>
    <w:p>
      <w:pPr>
        <w:pStyle w:val="Heading2"/>
        <w:spacing w:before="220" w:after="100"/>
      </w:pPr>
      <w:r>
        <w:rPr>
          <w:rFonts w:ascii="Arial" w:cs="Arial" w:eastAsia="Arial" w:hAnsi="Arial"/>
          <w:b/>
          <w:bCs/>
          <w:color w:val="2E6DA4"/>
          <w:sz w:val="22"/>
          <w:szCs w:val="22"/>
        </w:rPr>
        <w:t xml:space="preserve">3.1 Drug Substance Impurity Profile</w:t>
      </w:r>
    </w:p>
    <w:p>
      <w:pPr>
        <w:spacing w:before="60" w:after="60"/>
      </w:pPr>
      <w:r>
        <w:rPr>
          <w:rFonts w:ascii="Arial" w:cs="Arial" w:eastAsia="Arial" w:hAnsi="Arial"/>
          <w:sz w:val="20"/>
          <w:szCs w:val="20"/>
        </w:rPr>
        <w:t xml:space="preserve">Process-related impurities (host cell proteins, residual Protein A ligand, nucleic acid fragments) were quantified by validated methods and assessed against ICH Q3A thresholds and EMA CHMP Guideline on Limits of Genotoxic Impurities (TTC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2280"/>
      </w:tblGrid>
      <w:tr>
        <w:tc>
          <w:tcPr>
            <w:tcW w:type="dxa" w:w="24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Impurity</w:t>
            </w:r>
          </w:p>
        </w:tc>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Level (ppm)</w:t>
            </w:r>
          </w:p>
        </w:tc>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ICH Limit</w:t>
            </w:r>
          </w:p>
        </w:tc>
        <w:tc>
          <w:tcPr>
            <w:tcW w:type="dxa" w:w="22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Assessment</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Host cell proteins (HCPs)</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HCP ELISA (lot-specific)</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&lt;48 ppm</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&lt;100 ppm (Q6B)</w:t>
            </w:r>
          </w:p>
        </w:tc>
        <w:tc>
          <w:tcPr>
            <w:tcW w:type="dxa" w:w="22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PASS</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Residual Protein A ligand</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Anti-Protein A ELISA</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&lt;2 ppm</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&lt;10 ppm</w:t>
            </w:r>
          </w:p>
        </w:tc>
        <w:tc>
          <w:tcPr>
            <w:tcW w:type="dxa" w:w="22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PASS</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Residual DNA (host cell)</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qPCR/PicoGreen</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&lt;8 pg/dose</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&lt;10 ng/dose (FDA guidance)</w:t>
            </w:r>
          </w:p>
        </w:tc>
        <w:tc>
          <w:tcPr>
            <w:tcW w:type="dxa" w:w="22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PASS</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Polysorbate 80 (PS80) excipient</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HPLC-ELSD</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0.02% (200 ppm)</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NMT 0.1% (established safety)</w:t>
            </w:r>
          </w:p>
        </w:tc>
        <w:tc>
          <w:tcPr>
            <w:tcW w:type="dxa" w:w="22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PASS — no genotoxicity concern at this level</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Histidine excipient</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Amino acid analysis</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20 mM nominal</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Endogenous AA; not genotoxic</w:t>
            </w:r>
          </w:p>
        </w:tc>
        <w:tc>
          <w:tcPr>
            <w:tcW w:type="dxa" w:w="22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PASS</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Known genotoxic impurities (NGIs)</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In silico (Derek Nexus v7; Sarah v12)</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None detected</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TTC: 1.5 µg/day</w:t>
            </w:r>
          </w:p>
        </w:tc>
        <w:tc>
          <w:tcPr>
            <w:tcW w:type="dxa" w:w="22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NO NGIs IDENTIFIED</w:t>
            </w:r>
          </w:p>
        </w:tc>
      </w:tr>
    </w:tbl>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4. In Silico Genotoxicity Screening</w:t>
      </w:r>
    </w:p>
    <w:p>
      <w:pPr>
        <w:pStyle w:val="Heading2"/>
        <w:spacing w:before="220" w:after="100"/>
      </w:pPr>
      <w:r>
        <w:rPr>
          <w:rFonts w:ascii="Arial" w:cs="Arial" w:eastAsia="Arial" w:hAnsi="Arial"/>
          <w:b/>
          <w:bCs/>
          <w:color w:val="2E6DA4"/>
          <w:sz w:val="22"/>
          <w:szCs w:val="22"/>
        </w:rPr>
        <w:t xml:space="preserve">4.1 Cervimab Peptide Fragments — Derek Nexus / Sarah Analysis</w:t>
      </w:r>
    </w:p>
    <w:p>
      <w:pPr>
        <w:spacing w:before="60" w:after="60"/>
      </w:pPr>
      <w:r>
        <w:rPr>
          <w:rFonts w:ascii="Arial" w:cs="Arial" w:eastAsia="Arial" w:hAnsi="Arial"/>
          <w:sz w:val="20"/>
          <w:szCs w:val="20"/>
        </w:rPr>
        <w:t xml:space="preserve">Although direct DNA interaction by intact mAbs is not mechanistically feasible, Cervimab tryptic peptide fragments (potential catabolites) were analyzed by in silico structural alert databases (Derek Nexus v7.0 and Sarah v12.0, Lhasa Limited) as a precautionary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Analysis</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 / Version</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w:t>
            </w:r>
          </w:p>
        </w:tc>
        <w:tc>
          <w:tcPr>
            <w:tcW w:type="dxa" w:w="36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Structural alert analysis — heavy chain VH peptides</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Derek Nexus v7.0</w:t>
            </w:r>
          </w:p>
        </w:tc>
        <w:tc>
          <w:tcPr>
            <w:tcW w:type="dxa" w:w="16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No alerts</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 mutagenic, clastogenic, or quinone structural alerts identified in any tryptic peptide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Structural alert analysis — light chain VL peptides</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Derek Nexus v7.0</w:t>
            </w:r>
          </w:p>
        </w:tc>
        <w:tc>
          <w:tcPr>
            <w:tcW w:type="dxa" w:w="16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No alerts</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 alerts identified</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Quantitative SAR — heavy chain Fc domain peptides</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Sarah v12.0</w:t>
            </w:r>
          </w:p>
        </w:tc>
        <w:tc>
          <w:tcPr>
            <w:tcW w:type="dxa" w:w="16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Non-genotoxic (prediction)</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All Fc tryptic peptides predicted non-genotoxic with &gt;95% confidence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Fc glycan fragments (N-glycans, sialic acid)</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Derek Nexus v7.0</w:t>
            </w:r>
          </w:p>
        </w:tc>
        <w:tc>
          <w:tcPr>
            <w:tcW w:type="dxa" w:w="16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No alerts</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Complex N-glycans are endogenous components; no genotoxicity concern</w:t>
            </w:r>
          </w:p>
        </w:tc>
      </w:tr>
    </w:tbl>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5. Conclusion and Regulatory Statement</w:t>
      </w:r>
    </w:p>
    <w:p>
      <w:pPr>
        <w:spacing w:before="60" w:after="60"/>
      </w:pPr>
      <w:r>
        <w:rPr>
          <w:rFonts w:ascii="Arial" w:cs="Arial" w:eastAsia="Arial" w:hAnsi="Arial"/>
          <w:sz w:val="20"/>
          <w:szCs w:val="20"/>
        </w:rPr>
        <w:t xml:space="preserve">Based on:</w:t>
      </w:r>
    </w:p>
    <w:p>
      <w:pPr>
        <w:pStyle w:val="ListParagraph"/>
        <w:numPr>
          <w:ilvl w:val="0"/>
          <w:numId w:val="2"/>
        </w:numPr>
        <w:spacing w:before="40" w:after="40"/>
      </w:pPr>
      <w:r>
        <w:rPr>
          <w:rFonts w:ascii="Arial" w:cs="Arial" w:eastAsia="Arial" w:hAnsi="Arial"/>
          <w:sz w:val="20"/>
          <w:szCs w:val="20"/>
        </w:rPr>
        <w:t xml:space="preserve">Regulatory waiver applicable under ICH S9 and ICH S6(R1) for monoclonal antibody genotoxicity testing,</w:t>
      </w:r>
    </w:p>
    <w:p>
      <w:pPr>
        <w:pStyle w:val="ListParagraph"/>
        <w:numPr>
          <w:ilvl w:val="0"/>
          <w:numId w:val="2"/>
        </w:numPr>
        <w:spacing w:before="40" w:after="40"/>
      </w:pPr>
      <w:r>
        <w:rPr>
          <w:rFonts w:ascii="Arial" w:cs="Arial" w:eastAsia="Arial" w:hAnsi="Arial"/>
          <w:sz w:val="20"/>
          <w:szCs w:val="20"/>
        </w:rPr>
        <w:t xml:space="preserve">Absence of mechanistic basis for protein-mediated DNA interaction,</w:t>
      </w:r>
    </w:p>
    <w:p>
      <w:pPr>
        <w:pStyle w:val="ListParagraph"/>
        <w:numPr>
          <w:ilvl w:val="0"/>
          <w:numId w:val="2"/>
        </w:numPr>
        <w:spacing w:before="40" w:after="40"/>
      </w:pPr>
      <w:r>
        <w:rPr>
          <w:rFonts w:ascii="Arial" w:cs="Arial" w:eastAsia="Arial" w:hAnsi="Arial"/>
          <w:sz w:val="20"/>
          <w:szCs w:val="20"/>
        </w:rPr>
        <w:t xml:space="preserve">No genotoxic structural alerts in Cervimab peptide fragments (in silico),</w:t>
      </w:r>
    </w:p>
    <w:p>
      <w:pPr>
        <w:pStyle w:val="ListParagraph"/>
        <w:numPr>
          <w:ilvl w:val="0"/>
          <w:numId w:val="2"/>
        </w:numPr>
        <w:spacing w:before="40" w:after="40"/>
      </w:pPr>
      <w:r>
        <w:rPr>
          <w:rFonts w:ascii="Arial" w:cs="Arial" w:eastAsia="Arial" w:hAnsi="Arial"/>
          <w:sz w:val="20"/>
          <w:szCs w:val="20"/>
        </w:rPr>
        <w:t xml:space="preserve">All drug substance and formulation impurities below ICH Q3A/Q3C/Q3D and TTC thresholds,</w:t>
      </w:r>
    </w:p>
    <w:p>
      <w:pPr>
        <w:pStyle w:val="ListParagraph"/>
        <w:numPr>
          <w:ilvl w:val="0"/>
          <w:numId w:val="2"/>
        </w:numPr>
        <w:spacing w:before="40" w:after="40"/>
      </w:pPr>
      <w:r>
        <w:rPr>
          <w:rFonts w:ascii="Arial" w:cs="Arial" w:eastAsia="Arial" w:hAnsi="Arial"/>
          <w:sz w:val="20"/>
          <w:szCs w:val="20"/>
        </w:rPr>
        <w:t xml:space="preserve">No known or predicted genotoxic impurities (NGIs) identified by in silico screening,</w:t>
      </w:r>
    </w:p>
    <w:p>
      <w:pPr>
        <w:spacing w:before="80" w:after="80"/>
      </w:pPr>
    </w:p>
    <w:p>
      <w:pPr>
        <w:spacing w:before="60" w:after="60"/>
      </w:pPr>
      <w:r>
        <w:rPr>
          <w:rFonts w:ascii="Arial" w:cs="Arial" w:eastAsia="Arial" w:hAnsi="Arial"/>
          <w:b/>
          <w:bCs/>
          <w:sz w:val="20"/>
          <w:szCs w:val="20"/>
        </w:rPr>
        <w:t xml:space="preserve">Genotoxicity Testing: NOT REQUIRED. No safety concern identified. Standard Ames test, chromosomal aberration assay, and in vivo micronucleus test are NOT conducted and are not required to support Phase 1 clinical trials or marketing authorization per applicable ICH guidelines.</w:t>
      </w:r>
    </w:p>
    <w:p>
      <w:pPr>
        <w:spacing w:before="80" w:after="80"/>
      </w:pPr>
    </w:p>
    <w:p>
      <w:pPr>
        <w:spacing w:before="60" w:after="60"/>
      </w:pPr>
      <w:r>
        <w:rPr>
          <w:rFonts w:ascii="Arial" w:cs="Arial" w:eastAsia="Arial" w:hAnsi="Arial"/>
          <w:i/>
          <w:iCs/>
          <w:color w:val="555555"/>
          <w:sz w:val="18"/>
          <w:szCs w:val="18"/>
        </w:rPr>
        <w:t xml:space="preserve">Prepared by: Regulatory Toxicology Group, Meridian Oncology Sciences | ICH S9 regulatory basis confirmed with FDA at Type B pre-IND meeting (IND 135-892 Pre-IND Meeting, 2021-03-14) | Documented in pre-IND meeting minutes.</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pPr>
    <w:r>
      <w:rPr>
        <w:rFonts w:ascii="Arial" w:cs="Arial" w:eastAsia="Arial" w:hAnsi="Arial"/>
        <w:color w:val="888888"/>
        <w:sz w:val="16"/>
        <w:szCs w:val="16"/>
      </w:rPr>
      <w:t xml:space="preserve">MOS-GENO-2022-004 v1.5  |  Pg </w:t>
    </w:r>
    <w:pgNum/>
    <w:r>
      <w:rPr>
        <w:rFonts w:ascii="Arial" w:cs="Arial" w:eastAsia="Arial" w:hAnsi="Arial"/>
        <w:color w:val="888888"/>
        <w:sz w:val="16"/>
        <w:szCs w:val="16"/>
      </w:rPr>
      <w:t xml:space="preserve">  |  Cervimab Toxicology Program  |  21 CFR 312.23(a)(8)  |  © 2022 Meridian Oncology Sciences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pPr>
    <w:r>
      <w:rPr>
        <w:rFonts w:ascii="Arial" w:cs="Arial" w:eastAsia="Arial" w:hAnsi="Arial"/>
        <w:b/>
        <w:bCs/>
        <w:color w:val="1A3A5C"/>
        <w:sz w:val="16"/>
        <w:szCs w:val="16"/>
      </w:rPr>
      <w:t xml:space="preserve">MERIDIAN ONCOLOGY SCIENCES  |  </w:t>
    </w:r>
    <w:r>
      <w:rPr>
        <w:rFonts w:ascii="Arial" w:cs="Arial" w:eastAsia="Arial" w:hAnsi="Arial"/>
        <w:color w:val="555555"/>
        <w:sz w:val="16"/>
        <w:szCs w:val="16"/>
      </w:rPr>
      <w:t xml:space="preserve">Genotoxicity Assessment &amp; ICH S9 Waiver</w:t>
    </w:r>
    <w:r>
      <w:rPr>
        <w:rFonts w:ascii="Arial" w:cs="Arial" w:eastAsia="Arial" w:hAnsi="Arial"/>
        <w:color w:val="888888"/>
        <w:sz w:val="16"/>
        <w:szCs w:val="16"/>
      </w:rPr>
      <w:t xml:space="preserve">  |  GLP / IND SUPPORTING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3A5C"/>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2026-03-15T18:31:56.859Z</dcterms:created>
  <dcterms:modified xsi:type="dcterms:W3CDTF">2026-03-15T18:31:56.859Z</dcterms:modified>
</cp:coreProperties>
</file>

<file path=docProps/custom.xml><?xml version="1.0" encoding="utf-8"?>
<Properties xmlns="http://schemas.openxmlformats.org/officeDocument/2006/custom-properties" xmlns:vt="http://schemas.openxmlformats.org/officeDocument/2006/docPropsVTypes"/>
</file>