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5C"/>
          <w:sz w:val="30"/>
          <w:szCs w:val="30"/>
        </w:rPr>
        <w:t xml:space="preserve">MERIDIAN ONCOLOGY SCIENCES, INC.</w:t>
      </w:r>
    </w:p>
    <w:p>
      <w:pPr>
        <w:spacing w:before="0" w:after="40"/>
        <w:jc w:val="center"/>
      </w:pPr>
      <w:r>
        <w:rPr>
          <w:rFonts w:ascii="Arial" w:cs="Arial" w:eastAsia="Arial" w:hAnsi="Arial"/>
          <w:color w:val="555555"/>
          <w:sz w:val="20"/>
          <w:szCs w:val="20"/>
        </w:rPr>
        <w:t xml:space="preserve">Nonclinical Safety &amp; Pharmacokinetics Division</w:t>
      </w:r>
    </w:p>
    <w:p>
      <w:pPr>
        <w:spacing w:before="80" w:after="80"/>
      </w:pPr>
    </w:p>
    <w:p>
      <w:pPr>
        <w:pBdr>
          <w:top w:val="single" w:color="1A3A5C" w:sz="10"/>
          <w:bottom w:val="single" w:color="1A3A5C" w:sz="10"/>
        </w:pBdr>
        <w:spacing w:before="360" w:after="180"/>
        <w:jc w:val="center"/>
      </w:pPr>
      <w:r>
        <w:rPr>
          <w:rFonts w:ascii="Arial" w:cs="Arial" w:eastAsia="Arial" w:hAnsi="Arial"/>
          <w:b/>
          <w:bCs/>
          <w:color w:val="1A3A5C"/>
          <w:sz w:val="38"/>
          <w:szCs w:val="38"/>
        </w:rPr>
        <w:t xml:space="preserve">ADME Data Report</w:t>
      </w:r>
    </w:p>
    <w:p>
      <w:pPr>
        <w:spacing w:before="120" w:after="360"/>
        <w:jc w:val="center"/>
      </w:pPr>
      <w:r>
        <w:rPr>
          <w:rFonts w:ascii="Arial" w:cs="Arial" w:eastAsia="Arial" w:hAnsi="Arial"/>
          <w:i/>
          <w:iCs/>
          <w:color w:val="444444"/>
          <w:sz w:val="24"/>
          <w:szCs w:val="24"/>
        </w:rPr>
        <w:t xml:space="preserve">Cervimab — Absorption, Distribution, Metabolism &amp; Excretion | IgG4 mAb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Document Number:</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MOS-ADME-2022-007</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Version: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v2.0</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Date:</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2022-07-15</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Study Drug:</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Cervimab (MOS-PD1-047) | Fully Human IgG4 S228P Anti-PD-1 mAb</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IND:</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IND 135-892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GLP Status: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IND Supporting — Non-GLP | ICH S3A (Toxicokinetics); ICH S6(R1) | 21 CFR 312.23(a)(8)</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Regulatory Basis:</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 CFR 312.23(a)(8); ICH S9; ICH S6(R1); ICH S3A; 21 CFR 58 (GLP)</w:t>
            </w:r>
          </w:p>
        </w:tc>
      </w:tr>
    </w:tbl>
    <w:p>
      <w:pPr>
        <w:spacing w:before="80" w:after="80"/>
      </w:pPr>
    </w:p>
    <w:p>
      <w:pPr>
        <w:spacing w:before="60" w:after="60"/>
      </w:pPr>
      <w:r>
        <w:rPr>
          <w:rFonts w:ascii="Arial" w:cs="Arial" w:eastAsia="Arial" w:hAnsi="Arial"/>
          <w:i/>
          <w:iCs/>
          <w:color w:val="555555"/>
          <w:sz w:val="18"/>
          <w:szCs w:val="18"/>
        </w:rPr>
        <w:t xml:space="preserve">CONFIDENTIAL — This document contains proprietary preclinical safety information supporting IND 135-892. Distribution restricted to the IND working group and regulatory authorities. Prepared per FDA GLP regulations (21 CFR Part 58) and ICH M4S CTD format.</w:t>
      </w:r>
    </w:p>
    <w:p>
      <w:r>
        <w:br w:type="page"/>
      </w:r>
    </w:p>
    <w:p>
      <w:pPr>
        <w:pStyle w:val="Heading1"/>
        <w:pBdr>
          <w:bottom w:val="single" w:color="2E6DA4" w:sz="8" w:space="1"/>
        </w:pBdr>
        <w:spacing w:before="320" w:after="140"/>
      </w:pPr>
      <w:r>
        <w:rPr>
          <w:rFonts w:ascii="Arial" w:cs="Arial" w:eastAsia="Arial" w:hAnsi="Arial"/>
          <w:b/>
          <w:bCs/>
          <w:color w:val="1A3A5C"/>
          <w:sz w:val="28"/>
          <w:szCs w:val="28"/>
        </w:rPr>
        <w:t xml:space="preserve">1. Introduction: mAb ADME Principles</w:t>
      </w:r>
    </w:p>
    <w:p>
      <w:pPr>
        <w:spacing w:before="60" w:after="60"/>
      </w:pPr>
      <w:r>
        <w:rPr>
          <w:rFonts w:ascii="Arial" w:cs="Arial" w:eastAsia="Arial" w:hAnsi="Arial"/>
          <w:sz w:val="20"/>
          <w:szCs w:val="20"/>
        </w:rPr>
        <w:t xml:space="preserve">Cervimab is a large molecular weight protein therapeutic (~144 kDa) subject to the universal ADME principles governing IgG4 monoclonal antibodies. These fundamentally differ from small-molecule drugs:</w:t>
      </w:r>
    </w:p>
    <w:p>
      <w:pPr>
        <w:pStyle w:val="ListParagraph"/>
        <w:numPr>
          <w:ilvl w:val="0"/>
          <w:numId w:val="2"/>
        </w:numPr>
        <w:spacing w:before="40" w:after="40"/>
      </w:pPr>
      <w:r>
        <w:rPr>
          <w:rFonts w:ascii="Arial" w:cs="Arial" w:eastAsia="Arial" w:hAnsi="Arial"/>
          <w:sz w:val="20"/>
          <w:szCs w:val="20"/>
        </w:rPr>
        <w:t xml:space="preserve">Absorption: No meaningful oral or inhaled bioavailability due to GI proteolysis and mucosal impermeability. IV infusion (60 min) is the route of administration. Distribution is restricted primarily to the central (vascular) compartment with limited tissue penetration (Vss ~60 mL/kg ≈ plasma + interstitial fluid volume of the vascular system).</w:t>
      </w:r>
    </w:p>
    <w:p>
      <w:pPr>
        <w:pStyle w:val="ListParagraph"/>
        <w:numPr>
          <w:ilvl w:val="0"/>
          <w:numId w:val="2"/>
        </w:numPr>
        <w:spacing w:before="40" w:after="40"/>
      </w:pPr>
      <w:r>
        <w:rPr>
          <w:rFonts w:ascii="Arial" w:cs="Arial" w:eastAsia="Arial" w:hAnsi="Arial"/>
          <w:sz w:val="20"/>
          <w:szCs w:val="20"/>
        </w:rPr>
        <w:t xml:space="preserve">Distribution: Governed by FcRn-mediated transcytosis across endothelial cells (major route to interstitial space) and non-specific fluid-phase endocytosis. Target organ distribution (tumor, lymphoid tissue) occurs via convection/transcytosis.</w:t>
      </w:r>
    </w:p>
    <w:p>
      <w:pPr>
        <w:pStyle w:val="ListParagraph"/>
        <w:numPr>
          <w:ilvl w:val="0"/>
          <w:numId w:val="2"/>
        </w:numPr>
        <w:spacing w:before="40" w:after="40"/>
      </w:pPr>
      <w:r>
        <w:rPr>
          <w:rFonts w:ascii="Arial" w:cs="Arial" w:eastAsia="Arial" w:hAnsi="Arial"/>
          <w:sz w:val="20"/>
          <w:szCs w:val="20"/>
        </w:rPr>
        <w:t xml:space="preserve">Metabolism: Cervimab is catabolized by lysosomal proteases (Cathepsins D, B, L, etc.) to its constituent amino acids and small peptides across all cells capable of pinocytosis, primarily in vascular endothelium, liver Kupffer cells, and reticuloendothelial system (RES). The catabolites are recycled as endogenous amino acids. NO cytochrome P450-mediated metabolism. No reactive metabolites. No small-molecule metabolite safety assessment required.</w:t>
      </w:r>
    </w:p>
    <w:p>
      <w:pPr>
        <w:pStyle w:val="ListParagraph"/>
        <w:numPr>
          <w:ilvl w:val="0"/>
          <w:numId w:val="2"/>
        </w:numPr>
        <w:spacing w:before="40" w:after="40"/>
      </w:pPr>
      <w:r>
        <w:rPr>
          <w:rFonts w:ascii="Arial" w:cs="Arial" w:eastAsia="Arial" w:hAnsi="Arial"/>
          <w:sz w:val="20"/>
          <w:szCs w:val="20"/>
        </w:rPr>
        <w:t xml:space="preserve">Excretion: Intact mAb is NOT renally filtered (MW 144 kDa &gt;&gt; glomerular filtration cutoff ~50 kDa). Catabolized amino acids are excreted normally through urine and feces as endogenous metabolites. No parent drug appears in urine or feces.</w:t>
      </w:r>
    </w:p>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2. Absorption (IV Infusion PK)</w:t>
      </w:r>
    </w:p>
    <w:p>
      <w:pPr>
        <w:pStyle w:val="Heading2"/>
        <w:spacing w:before="220" w:after="100"/>
      </w:pPr>
      <w:r>
        <w:rPr>
          <w:rFonts w:ascii="Arial" w:cs="Arial" w:eastAsia="Arial" w:hAnsi="Arial"/>
          <w:b/>
          <w:bCs/>
          <w:color w:val="2E6DA4"/>
          <w:sz w:val="22"/>
          <w:szCs w:val="22"/>
        </w:rPr>
        <w:t xml:space="preserve">2.1 Single-Dose IV Infusion PK — Cynomolgus Monkey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200"/>
        <w:gridCol w:w="1200"/>
        <w:gridCol w:w="1200"/>
        <w:gridCol w:w="1800"/>
      </w:tblGrid>
      <w:tr>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 (mg/kg)</w:t>
            </w:r>
          </w:p>
        </w:tc>
        <w:tc>
          <w:tcPr>
            <w:tcW w:type="dxa" w:w="12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Cmax (µg/mL)</w:t>
            </w:r>
          </w:p>
        </w:tc>
        <w:tc>
          <w:tcPr>
            <w:tcW w:type="dxa" w:w="12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Tmax (h)</w:t>
            </w:r>
          </w:p>
        </w:tc>
        <w:tc>
          <w:tcPr>
            <w:tcW w:type="dxa" w:w="12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AUC₀₋∞ (µg·h/mL)</w:t>
            </w:r>
          </w:p>
        </w:tc>
        <w:tc>
          <w:tcPr>
            <w:tcW w:type="dxa" w:w="12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t½ (days)</w:t>
            </w:r>
          </w:p>
        </w:tc>
        <w:tc>
          <w:tcPr>
            <w:tcW w:type="dxa" w:w="12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Bioavail. IV (%)</w:t>
            </w:r>
          </w:p>
        </w:tc>
        <w:tc>
          <w:tcPr>
            <w:tcW w:type="dxa" w:w="18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boundary (t½α, h)</w:t>
            </w:r>
          </w:p>
        </w:tc>
      </w:tr>
      <w:tr>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20.8 ± 2.4</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1.1 (end infusion)</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2,980 ± 340</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18.4 ± 2.2</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100% (IV reference)</w:t>
            </w:r>
          </w:p>
        </w:tc>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α: ~6h (dist.) β: ~20d (elim.)</w:t>
            </w:r>
          </w:p>
        </w:tc>
      </w:tr>
      <w:tr>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104 ± 12</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1.1</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14,840 ± 1,680</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19.8 ± 2.4</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100% (IV)</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α: ~5.8h; β: ~20d</w:t>
            </w:r>
          </w:p>
        </w:tc>
      </w:tr>
      <w:tr>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412 ± 48</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1.1</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58,640 ± 6,840</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20.2 ± 2.8</w:t>
            </w:r>
          </w:p>
        </w:tc>
        <w:tc>
          <w:tcPr>
            <w:tcW w:type="dxa" w:w="1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100% (IV)</w:t>
            </w:r>
          </w:p>
        </w:tc>
        <w:tc>
          <w:tcPr>
            <w:tcW w:type="dxa" w:w="1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α: ~6.2h; β: ~20d</w:t>
            </w:r>
          </w:p>
        </w:tc>
      </w:tr>
      <w:tr>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100</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2,116 ± 190</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1.1</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305,600 ± 27,200</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20.8 ± 2.6</w:t>
            </w:r>
          </w:p>
        </w:tc>
        <w:tc>
          <w:tcPr>
            <w:tcW w:type="dxa" w:w="1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100% (IV)</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α: ~6h; β: ~21d</w:t>
            </w:r>
          </w:p>
        </w:tc>
      </w:tr>
    </w:tbl>
    <w:p>
      <w:pPr>
        <w:spacing w:before="60" w:after="60"/>
      </w:pPr>
      <w:r>
        <w:rPr>
          <w:rFonts w:ascii="Arial" w:cs="Arial" w:eastAsia="Arial" w:hAnsi="Arial"/>
          <w:i/>
          <w:iCs/>
          <w:color w:val="555555"/>
          <w:sz w:val="18"/>
          <w:szCs w:val="18"/>
        </w:rPr>
        <w:t xml:space="preserve">Tmax = end of 60-min infusion (Cmax occurs at end of infusion, not post-infusion). Biphasic PK: rapid distribution phase (α t½ ~6h) representing equilibration between plasma and interstitial fluid; long elimination phase (β t½ ~20d) representing FcRn-mediated recycling. CL 0.28–0.34 mL/h/kg — consistent with typical IgG4 nonspecific clearance (normal endogenous IgG t½ ~21 days in humans).</w:t>
      </w:r>
    </w:p>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3. Distribution</w:t>
      </w:r>
    </w:p>
    <w:p>
      <w:pPr>
        <w:pStyle w:val="Heading2"/>
        <w:spacing w:before="220" w:after="100"/>
      </w:pPr>
      <w:r>
        <w:rPr>
          <w:rFonts w:ascii="Arial" w:cs="Arial" w:eastAsia="Arial" w:hAnsi="Arial"/>
          <w:b/>
          <w:bCs/>
          <w:color w:val="2E6DA4"/>
          <w:sz w:val="22"/>
          <w:szCs w:val="22"/>
        </w:rPr>
        <w:t xml:space="preserve">3.1 Volume of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Cynomolgus Monkey</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Predicted Human</w:t>
            </w:r>
          </w:p>
        </w:tc>
        <w:tc>
          <w:tcPr>
            <w:tcW w:type="dxa" w:w="36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Biological Interpretation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Vss (mL/kg)</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58 ± 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~68 mL/kg (allometric)</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Vss ≈ plasma volume (45 mL/kg) + interstitial fluid accessible fraction (~13 mL/kg). Consistent with restricted distribution for large IgG4 molecule. No significant intracellular distribution.</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Vc (central compartment, mL/kg)</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38 ± 6</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~42 mL/kg</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Vc ≈ plasma volume. Consistent with vascular distribution immediately post-infusion.</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Vp (peripheral compartment, mL/kg)</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42 ± 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~48 mL/kg</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Peripheral compartment = interstitial fluid of well-perfused tissues (liver, spleen, lymph nodes). Driven by FcRn-mediated transcytosis and non-specific endocytosis.</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Tissue distribution (radiolabeled imaging)</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Spleen, LN, liver, tumor &gt; muscle, brain</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Predicted similar</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[¹²⁵I]-cervimab biodistribution in hPD-1 knock-in mice: highest uptake in spleen (pharmacological target organ), lymph nodes, and tumor tissue. Low uptake in brain, muscle, fat, consistent with restricted CNS penetration (tight junctions).</w:t>
            </w:r>
          </w:p>
        </w:tc>
      </w:tr>
    </w:tbl>
    <w:p>
      <w:pPr>
        <w:spacing w:before="80" w:after="80"/>
      </w:pPr>
    </w:p>
    <w:p>
      <w:pPr>
        <w:pStyle w:val="Heading2"/>
        <w:spacing w:before="220" w:after="100"/>
      </w:pPr>
      <w:r>
        <w:rPr>
          <w:rFonts w:ascii="Arial" w:cs="Arial" w:eastAsia="Arial" w:hAnsi="Arial"/>
          <w:b/>
          <w:bCs/>
          <w:color w:val="2E6DA4"/>
          <w:sz w:val="22"/>
          <w:szCs w:val="22"/>
        </w:rPr>
        <w:t xml:space="preserve">3.2 Blood:Plasma Partitioning</w:t>
      </w:r>
    </w:p>
    <w:p>
      <w:pPr>
        <w:spacing w:before="60" w:after="60"/>
      </w:pPr>
      <w:r>
        <w:rPr>
          <w:rFonts w:ascii="Arial" w:cs="Arial" w:eastAsia="Arial" w:hAnsi="Arial"/>
          <w:sz w:val="20"/>
          <w:szCs w:val="20"/>
        </w:rPr>
        <w:t xml:space="preserve">Blood-to-plasma ratio: 0.62 ± 0.04 (cynomolgus monkey; n=6; concentration range 1–100 µg/mL; measured by liquid scintillation counting of [¹²⁵I]-cervimab). This ratio is consistent with theoretical expectation for a large IgG4 molecule (excluded from erythrocytes; predominantly plasma-distributed). No concentration-dependence in blood:plasma ratio. Confirms use of plasma as the bioanalytical matrix for all PK analyses.</w:t>
      </w:r>
    </w:p>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4. Metabolism</w:t>
      </w:r>
    </w:p>
    <w:p>
      <w:pPr>
        <w:pStyle w:val="Heading2"/>
        <w:spacing w:before="220" w:after="100"/>
      </w:pPr>
      <w:r>
        <w:rPr>
          <w:rFonts w:ascii="Arial" w:cs="Arial" w:eastAsia="Arial" w:hAnsi="Arial"/>
          <w:b/>
          <w:bCs/>
          <w:color w:val="2E6DA4"/>
          <w:sz w:val="22"/>
          <w:szCs w:val="22"/>
        </w:rPr>
        <w:t xml:space="preserve">4.1 Catabolic Pathway — Proteolytic Degradation</w:t>
      </w:r>
    </w:p>
    <w:p>
      <w:pPr>
        <w:spacing w:before="60" w:after="60"/>
      </w:pPr>
      <w:r>
        <w:rPr>
          <w:rFonts w:ascii="Arial" w:cs="Arial" w:eastAsia="Arial" w:hAnsi="Arial"/>
          <w:sz w:val="20"/>
          <w:szCs w:val="20"/>
        </w:rPr>
        <w:t xml:space="preserve">As a protein therapeutic, Cervimab is exclusively eliminated via proteolytic catabolism. No cytochrome P450 metabolites, glucuronides, sulfates, or other typical small-molecule phase I/II metabolites are formed or expected. Cervimab catabolism proceeds via the following pathway:</w:t>
      </w:r>
    </w:p>
    <w:p>
      <w:pPr>
        <w:pStyle w:val="ListParagraph"/>
        <w:numPr>
          <w:ilvl w:val="0"/>
          <w:numId w:val="2"/>
        </w:numPr>
        <w:spacing w:before="40" w:after="40"/>
      </w:pPr>
      <w:r>
        <w:rPr>
          <w:rFonts w:ascii="Arial" w:cs="Arial" w:eastAsia="Arial" w:hAnsi="Arial"/>
          <w:sz w:val="20"/>
          <w:szCs w:val="20"/>
        </w:rPr>
        <w:t xml:space="preserve">Internalization: Pinocytosis of Cervimab–PD-1 complex (target-mediated) or non-specific fluid-phase endocytosis (FcRn-independent) into endosomes of vascular endothelial cells, Kupffer cells, monocyte-derived macrophages.</w:t>
      </w:r>
    </w:p>
    <w:p>
      <w:pPr>
        <w:pStyle w:val="ListParagraph"/>
        <w:numPr>
          <w:ilvl w:val="0"/>
          <w:numId w:val="2"/>
        </w:numPr>
        <w:spacing w:before="40" w:after="40"/>
      </w:pPr>
      <w:r>
        <w:rPr>
          <w:rFonts w:ascii="Arial" w:cs="Arial" w:eastAsia="Arial" w:hAnsi="Arial"/>
          <w:sz w:val="20"/>
          <w:szCs w:val="20"/>
        </w:rPr>
        <w:t xml:space="preserve">Endosomal sorting: At pH 5.5–6.0 in early endosomes, FcRn binds Cervimab Fc (IgG4 Fc with S228P stabilization) with high affinity, diverting the antibody to recycling endosomes and back to the cell surface (pH 7.4 → FcRn dissociation → Cervimab released to circulation). This recycling pathway extends t½ from ~12h (without FcRn) to ~20 days.</w:t>
      </w:r>
    </w:p>
    <w:p>
      <w:pPr>
        <w:pStyle w:val="ListParagraph"/>
        <w:numPr>
          <w:ilvl w:val="0"/>
          <w:numId w:val="2"/>
        </w:numPr>
        <w:spacing w:before="40" w:after="40"/>
      </w:pPr>
      <w:r>
        <w:rPr>
          <w:rFonts w:ascii="Arial" w:cs="Arial" w:eastAsia="Arial" w:hAnsi="Arial"/>
          <w:sz w:val="20"/>
          <w:szCs w:val="20"/>
        </w:rPr>
        <w:t xml:space="preserve">Lysosomal degradation: Cervimab not rescued by FcRn is trafficked to lysosomes where Cathepsin D, B, L cleave the polypeptide backbone at non-specific sites. Final catabolites: individual amino acids and small dipeptides (2–6 aa), which re-enter amino acid pools.</w:t>
      </w:r>
    </w:p>
    <w:p>
      <w:pPr>
        <w:pStyle w:val="ListParagraph"/>
        <w:numPr>
          <w:ilvl w:val="0"/>
          <w:numId w:val="2"/>
        </w:numPr>
        <w:spacing w:before="40" w:after="40"/>
      </w:pPr>
      <w:r>
        <w:rPr>
          <w:rFonts w:ascii="Arial" w:cs="Arial" w:eastAsia="Arial" w:hAnsi="Arial"/>
          <w:sz w:val="20"/>
          <w:szCs w:val="20"/>
        </w:rPr>
        <w:t xml:space="preserve">No reactive intermediates: Unlike CYP-metabolized small molecules, protein catabolism does not generate electrophilic species. Cervimab Fc glycans (complex N-glycans at Asn297) are cleaved by lysosomal glycosidases to monosaccharides (GlcNAc, mannose, fucose, galactose, sialic acid) — all endogenous metabolites.</w:t>
      </w:r>
    </w:p>
    <w:p>
      <w:pPr>
        <w:spacing w:before="80" w:after="80"/>
      </w:pPr>
    </w:p>
    <w:p>
      <w:pPr>
        <w:pStyle w:val="Heading2"/>
        <w:spacing w:before="220" w:after="100"/>
      </w:pPr>
      <w:r>
        <w:rPr>
          <w:rFonts w:ascii="Arial" w:cs="Arial" w:eastAsia="Arial" w:hAnsi="Arial"/>
          <w:b/>
          <w:bCs/>
          <w:color w:val="2E6DA4"/>
          <w:sz w:val="22"/>
          <w:szCs w:val="22"/>
        </w:rPr>
        <w:t xml:space="preserve">4.2 CYP Interaction Assessment — Not Applicable</w:t>
      </w:r>
    </w:p>
    <w:p>
      <w:pPr>
        <w:spacing w:before="60" w:after="60"/>
      </w:pPr>
      <w:r>
        <w:rPr>
          <w:rFonts w:ascii="Arial" w:cs="Arial" w:eastAsia="Arial" w:hAnsi="Arial"/>
          <w:sz w:val="20"/>
          <w:szCs w:val="20"/>
        </w:rPr>
        <w:t xml:space="preserve">Cervimab is a protein therapeutic with no CYP450 substrate, inhibitor, or inducer activity. The following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c>
          <w:tcPr>
            <w:tcW w:type="dxa" w:w="4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Basis</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CYP substrate (CYP1A2, 2C9, 2C19, 2D6, 3A4)</w:t>
            </w:r>
          </w:p>
        </w:tc>
        <w:tc>
          <w:tcPr>
            <w:tcW w:type="dxa" w:w="156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N/A</w:t>
            </w:r>
          </w:p>
        </w:tc>
        <w:tc>
          <w:tcPr>
            <w:tcW w:type="dxa" w:w="4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mAbs are not substrates for CYP enzymes (protein &gt; 50 kDa; confined to extracellular/endosomal compartments; no CYP access)</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CYP inhibition (direct)</w:t>
            </w:r>
          </w:p>
        </w:tc>
        <w:tc>
          <w:tcPr>
            <w:tcW w:type="dxa" w:w="156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Not applicable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mAbs do not inhibit CYP enzymes (mechanism requires interaction with CYP active site heme iron — not accessible to a 144 kDa antibody)</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CYP induction</w:t>
            </w:r>
          </w:p>
        </w:tc>
        <w:tc>
          <w:tcPr>
            <w:tcW w:type="dxa" w:w="156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Indirect risk: immunology-mediated</w:t>
            </w:r>
          </w:p>
        </w:tc>
        <w:tc>
          <w:tcPr>
            <w:tcW w:type="dxa" w:w="4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PD-1 blockade → cytokine release (IFN-γ, IL-6, TNF-α at high doses) → potential indirect CYP3A4 suppression via inflammatory cytokine pathway. Assessed class-wide as low risk at therapeutic doses. ICH S9 Q&amp;A: 'DDI studies are generally not warranted for anticancer biologics.'</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P-glycoprotein / transporter interactions</w:t>
            </w:r>
          </w:p>
        </w:tc>
        <w:tc>
          <w:tcPr>
            <w:tcW w:type="dxa" w:w="1560"/>
            <w:tcBorders>
              <w:top w:val="single" w:color="BFBFBF" w:sz="1"/>
              <w:left w:val="single" w:color="BFBFBF" w:sz="1"/>
              <w:bottom w:val="single" w:color="BFBFBF" w:sz="1"/>
              <w:right w:val="single" w:color="BFBFBF" w:sz="1"/>
            </w:tcBorders>
            <w:shd w:fill="CCFFCC" w:val="clear"/>
            <w:tcMar>
              <w:top w:type="dxa" w:w="70"/>
              <w:left w:type="dxa" w:w="120"/>
              <w:bottom w:type="dxa" w:w="70"/>
              <w:right w:type="dxa" w:w="120"/>
            </w:tcMar>
          </w:tcPr>
          <w:p>
            <w:r>
              <w:rPr>
                <w:rFonts w:ascii="Arial" w:cs="Arial" w:eastAsia="Arial" w:hAnsi="Arial"/>
                <w:b/>
                <w:bCs/>
                <w:color w:val="1A5C2A"/>
                <w:sz w:val="18"/>
                <w:szCs w:val="18"/>
              </w:rPr>
              <w:t xml:space="preserve">Not applicable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mAbs do not interact with ABC transporters or SLC transporters (require small molecule substrates). No clinical DDI risk via this pathway.</w:t>
            </w:r>
          </w:p>
        </w:tc>
      </w:tr>
    </w:tbl>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5. Excretion</w:t>
      </w:r>
    </w:p>
    <w:p>
      <w:pPr>
        <w:pStyle w:val="Heading2"/>
        <w:spacing w:before="220" w:after="100"/>
      </w:pPr>
      <w:r>
        <w:rPr>
          <w:rFonts w:ascii="Arial" w:cs="Arial" w:eastAsia="Arial" w:hAnsi="Arial"/>
          <w:b/>
          <w:bCs/>
          <w:color w:val="2E6DA4"/>
          <w:sz w:val="22"/>
          <w:szCs w:val="22"/>
        </w:rPr>
        <w:t xml:space="preserve">5.1 Clearance Mechanisms and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Clearance Pathway</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Contribution to Total CL</w:t>
            </w:r>
          </w:p>
        </w:tc>
        <w:tc>
          <w:tcPr>
            <w:tcW w:type="dxa" w:w="156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Rate (mL/h/kg)</w:t>
            </w:r>
          </w:p>
        </w:tc>
        <w:tc>
          <w:tcPr>
            <w:tcW w:type="dxa" w:w="36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Regulatory and Scientific Basis</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FcRn-mediated nonspecific clearance</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~65–75%</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~0.20</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Dominant pathway for IgG4; FcRn pH 6.0 KD = 8.4 nM (Biacore T200); recycling efficiency ~67% (returns 2/3 of endocytosed mAb to circulation). FcRn expression: vascular endothelium, hepatocytes, intestinal epithelium.</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Target-mediated drug disposition (TMDD) via PD-1</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~5–15% at therapeutic doses</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~0.02–0.05</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PD-1 is cell-surface receptor; after Cervimab binding → internalization of PD-1/Cervimab complex → lysosomal degradation. TMDD contribution estimated from PK model (Michaelis-Menten component): Km ~0.38 µg/mL; Vmax ~0.64 µg/h/kg. Becomes negligible above ~5× KD (receptor saturation).</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Non-specific proteolysis (liver Kupffer, RES)</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~10–20%</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~0.04–0.08</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FcγR-mediated endocytosis in Kupffer cells and phagocytes contributes to clearance. IgG4 S228P has reduced FcγR binding vs IgG1, limiting this pathway vs non-IgG4 antibodies.</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Total measured CL (cynomolgus)</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100%</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0.28–0.34 mL/h/kg</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Observed. Predicted human CL ~0.18–0.22 mL/h/kg (allometric scaling with SW exponent 0.75; correction factor 0.85 for human FcRn affinity difference).</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Renal excretion of intact antibody</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&lt;0.1% (negligible)</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~0.0003</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MW 144 kDa &gt;&gt; glomerular filtration threshold (~50 kDa). Urine collected in PK study: Cervimab not detectable by ELISA in any urine sample (LLOQ 0.5 ng/mL).</w:t>
            </w:r>
          </w:p>
        </w:tc>
      </w:tr>
    </w:tbl>
    <w:p>
      <w:pPr>
        <w:spacing w:before="80" w:after="80"/>
      </w:pPr>
    </w:p>
    <w:p>
      <w:pPr>
        <w:pStyle w:val="Heading1"/>
        <w:pBdr>
          <w:bottom w:val="single" w:color="2E6DA4" w:sz="8" w:space="1"/>
        </w:pBdr>
        <w:spacing w:before="320" w:after="140"/>
      </w:pPr>
      <w:r>
        <w:rPr>
          <w:rFonts w:ascii="Arial" w:cs="Arial" w:eastAsia="Arial" w:hAnsi="Arial"/>
          <w:b/>
          <w:bCs/>
          <w:color w:val="1A3A5C"/>
          <w:sz w:val="28"/>
          <w:szCs w:val="28"/>
        </w:rPr>
        <w:t xml:space="preserve">6. Human PK Predictions from Cynomolgus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PK Parameter</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Cyno (observed)</w:t>
            </w:r>
          </w:p>
        </w:tc>
        <w:tc>
          <w:tcPr>
            <w:tcW w:type="dxa" w:w="168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Human (predicted)</w:t>
            </w:r>
          </w:p>
        </w:tc>
        <w:tc>
          <w:tcPr>
            <w:tcW w:type="dxa" w:w="3600"/>
            <w:tcBorders>
              <w:top w:val="single" w:color="4472C4" w:sz="1"/>
              <w:left w:val="single" w:color="4472C4" w:sz="1"/>
              <w:bottom w:val="single" w:color="4472C4" w:sz="1"/>
              <w:right w:val="single" w:color="4472C4"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Prediction Method</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CL (mL/h/kg)</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0.28–0.34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0.18–0.22</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Allometric scaling (BW exponent 0.75; ADIVA correction factor); validated against pembrolizumab cyno→human prediction (predicted/observed = 0.92 for CL)</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Vss (mL/kg)</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58 ± 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~68 ± 10</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Allometric scaling (BW exponent 1.0 for Vss; Vss scales with BW directly for restricted distribution proteins)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t½ (days)</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18.4–21.2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~19–25 days</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Predicted from scaled CL and Vss: t½ = 0.693×Vss/CL. Human t½ expected ~21 days (endogenous IgG half-life reference).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Predicted Cmax at 400 mg flat dose Q3W (human)</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N/A</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~84–102 µg/mL</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Non-compartmental simulation using predicted CL 0.22 mL/h/kg, Vss 68 mL/kg, 60-min infusion, MW 144 kDa. Consistent with Phase 1 Phase 2 observations (Cmax 98 µg/mL observed at 400 mg Q3W).</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Trough (Cmin) at 400 mg Q3W (predicted)</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N/A</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~22–35 µg/mL</w:t>
            </w:r>
          </w:p>
        </w:tc>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Steady-state Cmin simulation (&gt;4 cycles). Cmin &gt; target minimum (1 µg/mL for RO saturation) in &gt;99% of predicted patients.</w:t>
            </w:r>
          </w:p>
        </w:tc>
      </w:tr>
    </w:tbl>
    <w:p>
      <w:pPr>
        <w:spacing w:before="80" w:after="80"/>
      </w:pPr>
    </w:p>
    <w:p>
      <w:pPr>
        <w:spacing w:before="60" w:after="60"/>
      </w:pPr>
      <w:r>
        <w:rPr>
          <w:rFonts w:ascii="Arial" w:cs="Arial" w:eastAsia="Arial" w:hAnsi="Arial"/>
          <w:i/>
          <w:iCs/>
          <w:color w:val="555555"/>
          <w:sz w:val="18"/>
          <w:szCs w:val="18"/>
        </w:rPr>
        <w:t xml:space="preserve">Human PK predictions validated against Phase 1 observed data: predicted Cmax 84–102 µg/mL vs observed 98.4 ± 14.2 µg/mL — excellent prediction accuracy (95% within prediction interval). Report prepared by: Nonclinical PK/ADME Group, Meridian Oncology Sciences.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color w:val="888888"/>
        <w:sz w:val="16"/>
        <w:szCs w:val="16"/>
      </w:rPr>
      <w:t xml:space="preserve">MOS-ADME-2022-007 v2.0  |  Pg </w:t>
    </w:r>
    <w:pgNum/>
    <w:r>
      <w:rPr>
        <w:rFonts w:ascii="Arial" w:cs="Arial" w:eastAsia="Arial" w:hAnsi="Arial"/>
        <w:color w:val="888888"/>
        <w:sz w:val="16"/>
        <w:szCs w:val="16"/>
      </w:rPr>
      <w:t xml:space="preserve">  |  Cervimab Toxicology Program  |  21 CFR 312.23(a)(8)  |  © 2022 Meridian Oncology Sciences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pPr>
    <w:r>
      <w:rPr>
        <w:rFonts w:ascii="Arial" w:cs="Arial" w:eastAsia="Arial" w:hAnsi="Arial"/>
        <w:b/>
        <w:bCs/>
        <w:color w:val="1A3A5C"/>
        <w:sz w:val="16"/>
        <w:szCs w:val="16"/>
      </w:rPr>
      <w:t xml:space="preserve">MERIDIAN ONCOLOGY SCIENCES  |  </w:t>
    </w:r>
    <w:r>
      <w:rPr>
        <w:rFonts w:ascii="Arial" w:cs="Arial" w:eastAsia="Arial" w:hAnsi="Arial"/>
        <w:color w:val="555555"/>
        <w:sz w:val="16"/>
        <w:szCs w:val="16"/>
      </w:rPr>
      <w:t xml:space="preserve">ADME Data Report</w:t>
    </w:r>
    <w:r>
      <w:rPr>
        <w:rFonts w:ascii="Arial" w:cs="Arial" w:eastAsia="Arial" w:hAnsi="Arial"/>
        <w:color w:val="888888"/>
        <w:sz w:val="16"/>
        <w:szCs w:val="16"/>
      </w:rPr>
      <w:t xml:space="preserve">  |  GLP / IND SUPPORTING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A5C"/>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2026-03-15T18:31:57.049Z</dcterms:created>
  <dcterms:modified xsi:type="dcterms:W3CDTF">2026-03-15T18:31:57.049Z</dcterms:modified>
</cp:coreProperties>
</file>

<file path=docProps/custom.xml><?xml version="1.0" encoding="utf-8"?>
<Properties xmlns="http://schemas.openxmlformats.org/officeDocument/2006/custom-properties" xmlns:vt="http://schemas.openxmlformats.org/officeDocument/2006/docPropsVTypes"/>
</file>