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MERIDIAN ONCOLOGY SCIENCES, INC.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Nonclinical Safety &amp; Pharmacokinetics Division</w:t>
      </w:r>
    </w:p>
    <w:p>
      <w:pPr>
        <w:spacing w:before="80" w:after="80"/>
      </w:pPr>
    </w:p>
    <w:p>
      <w:pPr>
        <w:pBdr>
          <w:top w:val="single" w:color="1A3A5C" w:sz="10"/>
          <w:bottom w:val="single" w:color="1A3A5C" w:sz="10"/>
        </w:pBdr>
        <w:spacing w:before="360" w:after="180"/>
        <w:jc w:val="center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Metabolite Profiling and Protein Binding Data Report</w:t>
      </w:r>
    </w:p>
    <w:p>
      <w:pPr>
        <w:spacing w:before="120" w:after="36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Cervimab — Catabolic Profiling, FcRn Binding Kinetics &amp; Plasma Protein Characterization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Number: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MOS-MPBR-2022-008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v1.8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2022-08-30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Drug: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(MOS-PD1-047) | Fully Human IgG4 S228P Anti-PD-1 mAb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 135-892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GLP Status: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 Supporting — Non-GLP | ICH M10; ICH Q6B; ICH S6(R1) | 21 CFR 312.23(a)(8)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Regulatory Basis: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CFR 312.23(a)(8); ICH S9; ICH S6(R1); ICH S3A; 21 CFR 58 (GLP)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CONFIDENTIAL — This document contains proprietary preclinical safety information supporting IND 135-892. Distribution restricted to the IND working group and regulatory authorities. Prepared per FDA GLP regulations (21 CFR Part 58) and ICH M4S CTD format.</w:t>
      </w:r>
    </w:p>
    <w:p>
      <w:r>
        <w:br w:type="page"/>
      </w: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Introduction: Protein Biologic Metabolite Context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Cervimab, as a full-length human IgG4 monoclonal antibody, does not generate conventional small-molecule drug metabolites via phase I/II biotransformation. This report covers: (1) catabolic peptide profiling by LC-MS/MS to characterize proteolytic degradation products, (2) FcRn binding kinetics (the primary protein interaction governing half-life), (3) plasma protein binding characterization, (4) serum albumin and immunoglobulin interaction assessment, and (5) post-translational modification (glycan) profiling. These data are required for ICH Q6B characterization and support IND Module 4 (nonclinical study reports) and IND Module 3 (CMC characterization).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Metabolite (Catabolite) Profiling by LC-MS/MS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 In Vitro Lysosomal Catabolism Study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Cervimab (1 mg/mL) was incubated with purified human lysosomal extracts (lysosome preparation from THP-1 macrophages; 37°C, pH 5.5, 1% acetic acid activation; n=3 biological replicates) for 0, 2, 6, 12, and 24 hours. Catabolites were characterized by nano-LC-MS/MS (Thermo Orbitrap Eclipse; HCD fragmentation; Sequest HT search against Cervimab sequence database).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80"/>
        <w:gridCol w:w="1080"/>
        <w:gridCol w:w="1080"/>
        <w:gridCol w:w="1080"/>
        <w:gridCol w:w="1320"/>
        <w:gridCol w:w="132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Catabolite / Fragment</w:t>
            </w:r>
          </w:p>
        </w:tc>
        <w:tc>
          <w:tcPr>
            <w:tcW w:type="dxa" w:w="10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Chain</w:t>
            </w:r>
          </w:p>
        </w:tc>
        <w:tc>
          <w:tcPr>
            <w:tcW w:type="dxa" w:w="10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Residues</w:t>
            </w:r>
          </w:p>
        </w:tc>
        <w:tc>
          <w:tcPr>
            <w:tcW w:type="dxa" w:w="10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MW (Da)</w:t>
            </w:r>
          </w:p>
        </w:tc>
        <w:tc>
          <w:tcPr>
            <w:tcW w:type="dxa" w:w="10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 (h)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Intensity (24h)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site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Intact IgG4 (parent)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HC+LC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144,284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0–2h only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→ 0%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 fragment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HC+LC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1–220 HC / full LC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48,420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2–12h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Hinge region cleavage (Cathepsin D, B)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 fragment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HC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221–447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24,840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2–24h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Hinge cleavage; FcRn-bound Fc more stable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CDR-H3-containing peptide (Ala93–Tyr106)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VH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93–106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1,688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6–24h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Cathepsin B cleavage C-term to aromatic AA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CDR-L3-containing peptide (Gln89–Thr97)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VL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89–97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1,042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6–24h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Non-specific endoproteolysis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CH2 glycopeptide (Asn297 + N-glycan)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HC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295–305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3,240 + glycan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6–24h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 biantennary N-glycan; released intact then deglycosylated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amino acids (pool)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AA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75–186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6–24h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Dominant at 24h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proteolysis; endogenous AA pool re-entry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Novel unique catabolites (no reference)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NONE DETECTED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unexpected catabolites; no reactive fragments identified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2.1 Lysosomal catabolite profile at 24h. All catabolites are expected fragments of the Cervimab primary sequence — no novel chemical entities, reactive intermediates, or unexpected cleavage products detected. LC-MS/MS sequence coverage: 92% (heavy chain), 96% (light chain). All catabolites confirmed by de novo sequencing.</w:t>
      </w:r>
    </w:p>
    <w:p>
      <w:pPr>
        <w:spacing w:before="80" w:after="8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2.2 In Vivo Catabolite Assessment — Cynomolgus Monkey Urine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Urine samples from the 13-week repeat-dose GLP study (Day 85, all dose groups, n=5/sex/group) were analyzed for Cervimab-derived catabolites by LC-MS/MS (same platform as in vitro analysis). Bioanalytical assay: anti-Cervimab capture ELISA (LLOQ 0.5 ng/mL for intact IgG4); LC-MS/MS for peptide catabolites (LLOQ 1 ng/mL).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680"/>
        <w:gridCol w:w="1680"/>
        <w:gridCol w:w="2880"/>
      </w:tblGrid>
      <w:tr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Analyte</w:t>
            </w:r>
          </w:p>
        </w:tc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Urine detection</w:t>
            </w:r>
          </w:p>
        </w:tc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Concentration</w:t>
            </w:r>
          </w:p>
        </w:tc>
        <w:tc>
          <w:tcPr>
            <w:tcW w:type="dxa" w:w="28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Intact Cervimab IgG4 (ELISA)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Not detected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LLOQ (0.5 ng/mL)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Confirms no intact mAb renal excretion (MW 144 kDa; above GFR threshold)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Fab fragments (reduced ELISA)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Not detected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LLOQ (0.5 ng/mL)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 MW ~48 kDa; borderline GFR threshold; confirmed absent in urine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CDR-derived peptides (LC-MS/MS)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Not detected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LLOQ (1 ng/mL)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Cervimab-specific peptides undetectable in urine; catabolism complete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amino acids (LC-MS/MS, ¹³C-labeled AA tracing)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Detected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Endogenous levels ± 5% vs vehicle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Cervimab-derived ¹³C-AA contribution negligible vs endogenous pool at therapeutic doses; confirms quantitatively minor contribution to amino acid excretion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FcRn Binding Kinetics — Primary Protein Interaction Governing Half-Life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3.1 pH-Dependent FcRn Binding (SPR)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FcRn binding to Cervimab Fc was characterized by SPR (Biacore T200) using recombinant human FcRn-β₂m heterodimer (Acro Biosystems; His-tagged; captured on NiNTA chip). Binding measured at pH 6.0 (endosomal, high affinity) and pH 7.4 (physiological, low affinity). This pH-dependent mechanism is the basis of FcRn-mediated half-life extension.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320"/>
        <w:gridCol w:w="1320"/>
        <w:gridCol w:w="1320"/>
        <w:gridCol w:w="1320"/>
        <w:gridCol w:w="2400"/>
      </w:tblGrid>
      <w:tr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Antibody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 (nM)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 (M⁻¹s⁻¹)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koff (s⁻¹)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Biological Significance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6.0 (endosomal)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8.4 ± 0.8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 × 10⁵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× 10⁻³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High-affinity FcRn binding in endosome → efficient recycling → long t½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7.4 (plasma)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&gt;10,000 (no binding)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N.D.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N.D.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 7.4 release at cell surface → Cervimab released to circulation → available for PD-1 binding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Pembrolizumab (IgG4 reference)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9.2 ± 1.0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 × 10⁵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× 10⁻³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 class-level FcRn binding; Cervimab FcRn KD ratio vs pembrolizumab = 0.91 (slightly higher FcRn affinity)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Endogenous human IgG (reference)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~150 nM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 × 10⁵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 × 10⁻²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FcRn affinity ~18× higher than endogenous IgG; supports ~21-day t½ vs shorter t½ of non-FcRn-bound proteins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Fc S228P (isolated Fc fragment)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7.8 ± 0.8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 × 10⁵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× 10⁻³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S228P mutation does not alter FcRn binding (mutation in hinge, not Fc region); confirms IgG4 S228P engineering maintains normal t½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SPR conditions: pH 6.0 buffer (50 mM MES, 150 mM NaCl, 0.05% Tween-20); pH 7.4 buffer (PBS, 0.05% Tween-20). N.D. = not determinable (no measurable binding at pH 7.4, confirming complete pH-dependence). This switchlike pH-dependence is the mechanistic basis of FcRn recycling and predicts the ~20-day observed t½.</w:t>
      </w:r>
    </w:p>
    <w:p>
      <w:pPr>
        <w:spacing w:before="80" w:after="8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3.2 Cynomolgus FcRn vs Human FcRn Binding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80"/>
        <w:gridCol w:w="360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FcRn Source</w:t>
            </w:r>
          </w:p>
        </w:tc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 (pH 6.0, nM)</w:t>
            </w:r>
          </w:p>
        </w:tc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koff (s⁻¹)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Translational Significance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FcRn-β₂m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8.4 ± 0.8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× 10⁻³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target; will determine clinical t½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Cynomolgus FcRn-β₂m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9.6 ± 1.0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 × 10⁻³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14% lower affinity for cyno FcRn; explains slightly shorter t½ in cynomolgus (~19–21d) vs predicted human (~20–23d)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Human/Cyno FcRn ratio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0.88 (human tighter)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t½ predicted slightly longer than cyno: 0.88× higher FcRn affinity → ~15% longer t½ in human. Predicted human t½ = cyno t½ × 1/0.88 = ~22–24 days.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Plasma Protein Binding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4.1 General Framework for mAb Protein Binding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Unlike small-molecule drugs where plasma protein binding (PPB) to albumin or α₁-acid glycoprotein reduces free fraction and affects efficacy, mAb 'protein binding' is a distinct concept. For Cervimab, the relevant protein interactions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FcRn binding (endosomal, pH 6.0): recycling mechanism — covered in Section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Target engagement (PD-1 receptor): primary pharmacological interaction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Non-specific serum protein interactions: assessed by standard PPB methods to evaluate risk of displacement or reduced free fraction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Neonatal Fc receptor on mucosal tissues: relevant for subcutaneous formulation (not applicable to IV)</w:t>
      </w:r>
    </w:p>
    <w:p>
      <w:pPr>
        <w:spacing w:before="80" w:after="8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4.2 Non-Specific Plasma Protein Binding — Equilibrium Dialysis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Standard equilibrium dialysis (RED assay; Thermo Scientific) was used to assess non-specific binding of Cervimab to plasma proteins in human and cynomolgus plasma. Cervimab at 1, 10, and 100 µg/mL in plasma equilibrated for 4h at 37°C; buffer compartment: PBS pH 7.4. Cervimab quantified by anti-PD-1 Fab-specific sandwich ELISA (LLOQ 0.5 ng/mL).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440"/>
        <w:gridCol w:w="1440"/>
        <w:gridCol w:w="1440"/>
        <w:gridCol w:w="1440"/>
        <w:gridCol w:w="2320"/>
      </w:tblGrid>
      <w:tr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Species / Conc. (µg/mL)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[Plasma] (µg/mL)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[Buffer] (µg/mL)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Unbound (fu)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Bound</w:t>
            </w:r>
          </w:p>
        </w:tc>
        <w:tc>
          <w:tcPr>
            <w:tcW w:type="dxa" w:w="2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plasma — 1 µg/mL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± 0.08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0.98 ± 0.08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98.0 ± 0.8%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 ± 0.8%</w:t>
            </w:r>
          </w:p>
        </w:tc>
        <w:tc>
          <w:tcPr>
            <w:tcW w:type="dxa" w:w="2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Essentially unbound in plasma — as expected for IgG4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plasma — 10 µg/mL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 ± 0.4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9.84 ± 0.4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98.4 ± 0.5%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1.6 ± 0.5%</w:t>
            </w:r>
          </w:p>
        </w:tc>
        <w:tc>
          <w:tcPr>
            <w:tcW w:type="dxa" w:w="2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 with 1 µg/mL; no concentration dependence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plasma — 100 µg/mL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± 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98.2 ± 5.8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98.2 ± 0.6%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 ± 0.6%</w:t>
            </w:r>
          </w:p>
        </w:tc>
        <w:tc>
          <w:tcPr>
            <w:tcW w:type="dxa" w:w="2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saturation of non-specific binding across therapeutic range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Cyno plasma — 10 µg/mL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 ± 0.5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9.80 ± 0.5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98.0 ± 0.5%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 ± 0.5%</w:t>
            </w:r>
          </w:p>
        </w:tc>
        <w:tc>
          <w:tcPr>
            <w:tcW w:type="dxa" w:w="2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Comparable to human; supports cyno as relevant preclinical species for PK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fu ~98% confirms Cervimab circulates essentially as free drug in plasma at all concentrations tested (1–100 µg/mL, spanning full therapeutic-to-toxic range). This is expected for IgG4: the size (~144 kDa) and hydrophilicity preclude non-specific HSA or α₁-AGP binding that affects small molecules. Clinical PK analysis can use total plasma Cervimab concentration as a proxy for free drug concentration.</w:t>
      </w:r>
    </w:p>
    <w:p>
      <w:pPr>
        <w:spacing w:before="80" w:after="8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4.3 Albumin and IgG Competitive Binding Assessment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Since Cervimab and human serum albumin (HSA) share the FcRn recycling receptor (FcRn binds IgG at the CH2-CH3 junction and albumin at a distinct site on CH3), competition between endogenous IgG (~10 g/L in serum) and Cervimab for FcRn was assessed by SPR competitive binding experiments at pH 6.0.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680"/>
        <w:gridCol w:w="1680"/>
        <w:gridCol w:w="3360"/>
      </w:tblGrid>
      <w:tr>
        <w:tc>
          <w:tcPr>
            <w:tcW w:type="dxa" w:w="26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Competitive Scenario</w:t>
            </w:r>
          </w:p>
        </w:tc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Cervimab FcRn Binding</w:t>
            </w:r>
          </w:p>
        </w:tc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on t½ (predicted)</w:t>
            </w:r>
          </w:p>
        </w:tc>
        <w:tc>
          <w:tcPr>
            <w:tcW w:type="dxa" w:w="3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Significance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alone (no endogenous IgG competition)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KD 8.4 nM at pH 6.0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~22 days (baseline)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+ endogenous IgG (10 g/L, physiological)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KD 8.6 ± 0.4 nM (+2% shift)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~21–22 days (−2%)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Negligible competition at therapeutic cervimab doses (&lt;5 mg/kg). Endogenous IgG at 10 g/L vastly exceeds Cmax but binds different FcRn sites; functional saturation only at IVIG-like doses (&gt;200 mg/kg). No dose adjustment needed.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+ HSA (4 g/dL, physiological)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KD 8.4 ± 0.5 nM (unchanged)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HSA binds FcRn at a distinct site (domain III loop); no competition with IgG4 Fc binding at CH2-CH3 interface. No pharmacokinetic interaction predicted.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N-Glycan Profiling (Post-Translational Modifications)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5.1 Fc Glycan Characterization (Asn297)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N-glycan profiling was performed by PNGase F release + HILIC-FLD (hydrophilic interaction liquid chromatography with fluorescence detection; 2-AB labeling; Waters ACQUITY UPLC H-class) and LC-MS confirmation (Orbitrap Exploris 480). Cervimab expressed in CHO-K1 cells, Lot C21-028 (representative GLP tox batch).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560"/>
        <w:gridCol w:w="1560"/>
        <w:gridCol w:w="3600"/>
      </w:tblGrid>
      <w:tr>
        <w:tc>
          <w:tcPr>
            <w:tcW w:type="dxa" w:w="26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N-Glycan Species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Glycan Type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Relative %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Regulatory Significance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G0F (afucosylated core + fucose)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 biantennary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38.4 ± 2.2%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 Fc glycoform; no impact on FcRn binding; IgG4 does not mediate ADCC so afucosylation not relevant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G1F (G0F + 1 galactose)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 biantennary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28.6 ± 1.8%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Second-largest species; galactose improves C1q binding (minor for IgG4)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G2F (G0F + 2 galactose)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 biantennary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14.2 ± 1.4%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complex glycoform for CHO-expressed IgG4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G0 (non-fucosylated)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 biantennary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8.4 ± 1.0%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Afucosylated: higher FcγRIIIa affinity. However, IgG4 S228P already minimizes Fc effector function; ADCC not a safety concern.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Man5 (high mannose)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mannose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 ± 0.8%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High-mannose species may have faster clearance via mannose receptor. Within acceptable range; no impact on clinical PK at &lt;5%.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Sialylated species (G2FS1, G2FS2)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Sialylated complex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3.6 ± 0.6%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Minor; sialylation associated with anti-inflammatory Fc activity. Low level is consistent with CHO expression (CHO cells have low sialyltransferase activity).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fucosylated species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 (fucosylated)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81.2 ± 2.4%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CHO glycosylation profile. Acceptance criterion: ≥70% fucosylated (per ICH Q6B Lot Release).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5.1 N-glycan profiling. Batch-to-batch consistency across 3 development lots: CV &lt;8% for major glycoforms. Glycan profile is within the established characterization range for CHO-expressed IgG4 therapeutics. No unexpected glycoforms detected. Sialic acid content: 1.8 ± 0.4 mol/mol IgG4 (within specification).</w:t>
      </w:r>
    </w:p>
    <w:p>
      <w:pPr>
        <w:spacing w:before="80" w:after="8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5.2 Other Post-Translational Modifications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560"/>
        <w:gridCol w:w="1560"/>
        <w:gridCol w:w="3600"/>
      </w:tblGrid>
      <w:tr>
        <w:tc>
          <w:tcPr>
            <w:tcW w:type="dxa" w:w="26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PTM / Modification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 Method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 / Result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Regulatory Assessment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N-terminal pyroglutamate (pGlu) conversion (VH)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LC-MS/MS (intact mass)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 ± 4% (pGlu form)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 N-terminal modification for IgG4 with Glu-1 residue; no immunogenicity, potency, or safety concern. Specified in Q6B characterization.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C-terminal Lys clipping (heavy chain)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LC-MS/MS (reduced)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 ± 4% Lys-clipped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C-terminal Lys removal by carboxypeptidase B in CHO culture is common; no impact on potency, FcRn binding, or PK. Specified in ICH Q6B.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Deamidation (Asn → Asp/isoAsp)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LC-MS/MS (peptide map)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&lt;2% at Asn55 HC; &lt;1% total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Low-level deamidation in CDR-H2 (Asn55, minor site); acceptably low; no impact on potency or stability within shelf life. Within Q6B specification.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Oxidation (Met → Met-sulfoxide)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LC-MS/MS (peptide map)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&lt;3% at Met252, &lt;1% at Met428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 oxidation in Fc at M252/M428: minor levels; stress conditions (forced oxidation) show ≤8%. FcRn binding not affected at these oxidation levels (&lt;10% oxidation per ICH Q6B threshold).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Disulfide bonds (all 16 expected intrachain + interchain)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Non-reducing CE-SDS + LC-MS/MS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correct; 0% free thiol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16 disulfide bonds correct (intrachain: VH, VL, CH1, CH2, CH3; interchain: H-L, H-H hinge + S228P). S228P stabilizes hinge disulfide. Confirms structural integrity.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Summary and Regulatory Conclusions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metabolite, FcRn binding, plasma protein binding, and PTM characterization data collectively demonstrate: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novel small-molecule metabolites or reactive catabolites — Cervimab catabolism yields only amino acids and expected peptide fragments, all endogenous substances. No metabolite safety assessment required per ICH S9 and ICH S6(R1).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Robust FcRn recycling mechanism — pH-dependent FcRn binding (KD 8.4 nM at pH 6.0; no binding at pH 7.4) predicts ~21-day clinical half-life, consistent with Q3W dosing interval.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Essentially complete plasma free fraction (fu ~98%) — total plasma Cervimab is a valid surrogate for free drug; no protein displacement DDI possible. No small-molecule DDI via CYP or transporter mechanisms.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Defined PTM profile meeting ICH Q6B characterization requirements — N-glycan profile, deamidation, oxidation, and disulfide integrity all within specification.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Cynomolgus monkey is a validated PK model — FcRn binding KD ratio (cyno/human = 1.14) accurately predicts the ~15% shorter cyno t½ vs human, supporting PK bridging from nonclinical to clinical.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Prepared by: ADME &amp; Biophysics Group, Meridian Oncology Sciences | Document: MOS-MPBR-2022-008 v1.8 | Analytical work conducted at Meridian laboratories and under contract at Covance Bioanalytical Services, Harrogate, UK (ICH M10 qualified bioanalytical facility).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MOS-MPBR-2022-008 v1.8  |  Pg </w:t>
    </w:r>
    <w:pgNum/>
    <w:r>
      <w:rPr>
        <w:rFonts w:ascii="Arial" w:cs="Arial" w:eastAsia="Arial" w:hAnsi="Arial"/>
        <w:color w:val="888888"/>
        <w:sz w:val="16"/>
        <w:szCs w:val="16"/>
      </w:rPr>
      <w:t xml:space="preserve">  |  Cervimab Toxicology Program  |  21 CFR 312.23(a)(8)  |  © 2022 Meridian Oncology Sciences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Arial" w:cs="Arial" w:eastAsia="Arial" w:hAnsi="Arial"/>
        <w:b/>
        <w:bCs/>
        <w:color w:val="1A3A5C"/>
        <w:sz w:val="16"/>
        <w:szCs w:val="16"/>
      </w:rPr>
      <w:t xml:space="preserve">MERIDIAN ONCOLOGY SCIENCES  |  </w:t>
    </w:r>
    <w:r>
      <w:rPr>
        <w:rFonts w:ascii="Arial" w:cs="Arial" w:eastAsia="Arial" w:hAnsi="Arial"/>
        <w:color w:val="555555"/>
        <w:sz w:val="16"/>
        <w:szCs w:val="16"/>
      </w:rPr>
      <w:t xml:space="preserve">Metabolite Profiling &amp; Protein Binding Data Report</w:t>
    </w:r>
    <w:r>
      <w:rPr>
        <w:rFonts w:ascii="Arial" w:cs="Arial" w:eastAsia="Arial" w:hAnsi="Arial"/>
        <w:color w:val="888888"/>
        <w:sz w:val="16"/>
        <w:szCs w:val="16"/>
      </w:rPr>
      <w:t xml:space="preserve">  |  GLP / IND SUPPORTING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2026-03-15T18:31:57.088Z</dcterms:created>
  <dcterms:modified xsi:type="dcterms:W3CDTF">2026-03-15T18:31:57.088Z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