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80" w:after="160"/>
        <w:jc w:val="center"/>
      </w:pPr>
      <w:r>
        <w:rPr>
          <w:rFonts w:ascii="Arial" w:cs="Arial" w:eastAsia="Arial" w:hAnsi="Arial"/>
          <w:b/>
          <w:bCs/>
          <w:color w:val="1A3A5C"/>
          <w:sz w:val="30"/>
          <w:szCs w:val="30"/>
        </w:rPr>
        <w:t xml:space="preserve">MERIDIAN ONCOLOGY SCIENCES, INC.</w:t>
      </w:r>
    </w:p>
    <w:p>
      <w:pPr>
        <w:spacing w:before="0" w:after="40"/>
        <w:jc w:val="center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Pharmacology, DMPK &amp; Translational Sciences Division</w:t>
      </w:r>
    </w:p>
    <w:p>
      <w:pPr>
        <w:spacing w:before="80" w:after="80"/>
      </w:pPr>
    </w:p>
    <w:p>
      <w:pPr>
        <w:pBdr>
          <w:top w:val="single" w:color="1A3A5C" w:sz="10"/>
          <w:bottom w:val="single" w:color="1A3A5C" w:sz="10"/>
        </w:pBdr>
        <w:spacing w:before="360" w:after="200"/>
        <w:jc w:val="center"/>
      </w:pPr>
      <w:r>
        <w:rPr>
          <w:rFonts w:ascii="Arial" w:cs="Arial" w:eastAsia="Arial" w:hAnsi="Arial"/>
          <w:b/>
          <w:bCs/>
          <w:color w:val="1A3A5C"/>
          <w:sz w:val="36"/>
          <w:szCs w:val="36"/>
        </w:rPr>
        <w:t xml:space="preserve">Bioavailability Summary Report</w:t>
      </w:r>
    </w:p>
    <w:p>
      <w:pPr>
        <w:spacing w:before="120" w:after="360"/>
        <w:jc w:val="center"/>
      </w:pPr>
      <w:r>
        <w:rPr>
          <w:rFonts w:ascii="Arial" w:cs="Arial" w:eastAsia="Arial" w:hAnsi="Arial"/>
          <w:i/>
          <w:iCs/>
          <w:color w:val="444444"/>
          <w:sz w:val="24"/>
          <w:szCs w:val="24"/>
        </w:rPr>
        <w:t xml:space="preserve">Cervimab | IV Bioavailability | Absolute F=100% | Human PK Predictions &amp; Dose Justification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Document Number:</w:t>
            </w:r>
          </w:p>
        </w:tc>
        <w:tc>
          <w:tcPr>
            <w:tcW w:type="dxa" w:w="62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MOS-BA-2022-003</w:t>
            </w:r>
          </w:p>
        </w:tc>
      </w:tr>
      <w:t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Version:</w:t>
            </w:r>
          </w:p>
        </w:tc>
        <w:tc>
          <w:tcPr>
            <w:tcW w:type="dxa" w:w="62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v1.8</w:t>
            </w:r>
          </w:p>
        </w:tc>
      </w:tr>
      <w:t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Date:</w:t>
            </w:r>
          </w:p>
        </w:tc>
        <w:tc>
          <w:tcPr>
            <w:tcW w:type="dxa" w:w="62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2022-09-05</w:t>
            </w:r>
          </w:p>
        </w:tc>
      </w:tr>
      <w:t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Study Drug:</w:t>
            </w:r>
          </w:p>
        </w:tc>
        <w:tc>
          <w:tcPr>
            <w:tcW w:type="dxa" w:w="62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Cervimab (MOS-PD1-047) | Fully Human IgG4 S228P Anti-PD-1 mAb | IND 135-892</w:t>
            </w:r>
          </w:p>
        </w:tc>
      </w:tr>
      <w:t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Indication:</w:t>
            </w:r>
          </w:p>
        </w:tc>
        <w:tc>
          <w:tcPr>
            <w:tcW w:type="dxa" w:w="62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dMMR/MSI-H Metastatic Colorectal Cancer (mCRC)</w:t>
            </w:r>
          </w:p>
        </w:tc>
      </w:tr>
      <w:t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GLP Status:</w:t>
            </w:r>
          </w:p>
        </w:tc>
        <w:tc>
          <w:tcPr>
            <w:tcW w:type="dxa" w:w="62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Non-GLP | ICH S3A; 21 CFR 312.23(a)(8)</w:t>
            </w:r>
          </w:p>
        </w:tc>
      </w:tr>
      <w:t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Regulatory Basis:</w:t>
            </w:r>
          </w:p>
        </w:tc>
        <w:tc>
          <w:tcPr>
            <w:tcW w:type="dxa" w:w="62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21 CFR 312.23(a)(8); ICH S6(R1); ICH S9; ICH E9(R1); FDA Oncology Dose Optimization Guidance 2022</w:t>
            </w:r>
          </w:p>
        </w:tc>
      </w:tr>
    </w:tbl>
    <w:p>
      <w:pPr>
        <w:spacing w:before="80" w:after="80"/>
      </w:pPr>
    </w:p>
    <w:p>
      <w:pPr>
        <w:spacing w:before="50" w:after="50"/>
      </w:pPr>
      <w:r>
        <w:rPr>
          <w:rFonts w:ascii="Arial" w:cs="Arial" w:eastAsia="Arial" w:hAnsi="Arial"/>
          <w:i/>
          <w:iCs/>
          <w:color w:val="555555"/>
          <w:sz w:val="17"/>
          <w:szCs w:val="17"/>
        </w:rPr>
        <w:t xml:space="preserve">CONFIDENTIAL — Contains proprietary preclinical pharmacology and PK/PD data supporting IND 135-892 for Cervimab. Prepared in accordance with 21 CFR 312.23(a)(8) and ICH M4S CTD Module 2.6 format. Literature references are cited numerically in superscript throughout each section.</w:t>
      </w:r>
    </w:p>
    <w:p>
      <w:r>
        <w:br w:type="page"/>
      </w:r>
    </w:p>
    <w:p>
      <w:pPr>
        <w:pStyle w:val="Heading1"/>
        <w:pBdr>
          <w:bottom w:val="single" w:color="2E6DA4" w:sz="8" w:space="1"/>
        </w:pBdr>
        <w:spacing w:before="300" w:after="12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1. Introduction: Bioavailability of IgG4 mAbs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Cervimab is administered exclusively by intravenous (IV) infusion. For IV therapeutics, absolute bioavailability is definitionally 100% — all administered dose enters the systemic circulation. This report documents the IV bioavailability characterization, infusion rate assessment, absolute F confirmation, and dose linearity across the preclinical PK program. Subcutaneous (SC) formulation development is not part of the current development plan for Cervimab; SC bioavailability is therefore not assessed in this program. This is consistent with the IV-only administration of pembrolizumab and nivolumab at approval, though SC formulations have subsequently been developed for some PD-1/PD-L1 inhibitors </w:t>
      </w:r>
      <w:r>
        <w:rPr>
          <w:rFonts w:ascii="Arial" w:cs="Arial" w:eastAsia="Arial" w:hAnsi="Arial"/>
          <w:color w:val="2E6DA4"/>
          <w:sz w:val="16"/>
          <w:szCs w:val="16"/>
          <w:vertAlign w:val="superscript"/>
        </w:rPr>
        <w:t xml:space="preserve">[2]</w:t>
      </w:r>
      <w:r>
        <w:rPr>
          <w:rFonts w:ascii="Arial" w:cs="Arial" w:eastAsia="Arial" w:hAnsi="Arial"/>
          <w:sz w:val="20"/>
          <w:szCs w:val="20"/>
        </w:rPr>
        <w:t xml:space="preserve">.</w:t>
      </w:r>
    </w:p>
    <w:p>
      <w:pPr>
        <w:spacing w:before="80" w:after="80"/>
      </w:pPr>
    </w:p>
    <w:p>
      <w:pPr>
        <w:pStyle w:val="Heading1"/>
        <w:pBdr>
          <w:bottom w:val="single" w:color="2E6DA4" w:sz="8" w:space="1"/>
        </w:pBdr>
        <w:spacing w:before="300" w:after="12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2. Absolute Bioavailability: IV Reference</w:t>
      </w:r>
    </w:p>
    <w:p>
      <w:pPr>
        <w:pStyle w:val="Heading2"/>
        <w:spacing w:before="200" w:after="100"/>
      </w:pPr>
      <w:r>
        <w:rPr>
          <w:rFonts w:ascii="Arial" w:cs="Arial" w:eastAsia="Arial" w:hAnsi="Arial"/>
          <w:b/>
          <w:bCs/>
          <w:color w:val="2E6DA4"/>
          <w:sz w:val="22"/>
          <w:szCs w:val="22"/>
        </w:rPr>
        <w:t xml:space="preserve">2.1 Confirmation of Complete Systemic Absorption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Absolute bioavailability was confirmed by comparing AUC₀₋∞ following IV bolus-equivalent (60-min infusion) administration across all doses tested in cynomolgus monkeys (1, 5, 20, 30, 100 mg/kg). Dose-normalized AUC (AUC₀₋∞/Dose) was compared across doses to confirm dose-proportionality (a necessary condition for F=100% for IV administration) and absence of saturable absorption mechanisms (not applicable for IV, but confirms no target-mediated pre-systemic elimination) </w:t>
      </w:r>
      <w:r>
        <w:rPr>
          <w:rFonts w:ascii="Arial" w:cs="Arial" w:eastAsia="Arial" w:hAnsi="Arial"/>
          <w:color w:val="2E6DA4"/>
          <w:sz w:val="16"/>
          <w:szCs w:val="16"/>
          <w:vertAlign w:val="superscript"/>
        </w:rPr>
        <w:t xml:space="preserve">[2]</w:t>
      </w:r>
      <w:r>
        <w:rPr>
          <w:rFonts w:ascii="Arial" w:cs="Arial" w:eastAsia="Arial" w:hAnsi="Arial"/>
          <w:sz w:val="20"/>
          <w:szCs w:val="20"/>
        </w:rPr>
        <w:t xml:space="preserve">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1680"/>
        <w:gridCol w:w="1560"/>
        <w:gridCol w:w="1560"/>
        <w:gridCol w:w="1560"/>
        <w:gridCol w:w="1560"/>
      </w:tblGrid>
      <w:tr>
        <w:tc>
          <w:tcPr>
            <w:tcW w:type="dxa" w:w="144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Dose (mg/kg)</w:t>
            </w:r>
          </w:p>
        </w:tc>
        <w:tc>
          <w:tcPr>
            <w:tcW w:type="dxa" w:w="168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AUC₀₋∞ (µg·h/mL)</w:t>
            </w:r>
          </w:p>
        </w:tc>
        <w:tc>
          <w:tcPr>
            <w:tcW w:type="dxa" w:w="156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DN-AUC (µg·h/mL per mg/kg)</w:t>
            </w:r>
          </w:p>
        </w:tc>
        <w:tc>
          <w:tcPr>
            <w:tcW w:type="dxa" w:w="156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t½ (days)</w:t>
            </w:r>
          </w:p>
        </w:tc>
        <w:tc>
          <w:tcPr>
            <w:tcW w:type="dxa" w:w="156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 (absolute)</w:t>
            </w:r>
          </w:p>
        </w:tc>
        <w:tc>
          <w:tcPr>
            <w:tcW w:type="dxa" w:w="156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Dose proportion.</w:t>
            </w:r>
          </w:p>
        </w:tc>
      </w:tr>
      <w:tr>
        <w:tc>
          <w:tcPr>
            <w:tcW w:type="dxa" w:w="14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 (exploratory)</w:t>
            </w:r>
          </w:p>
        </w:tc>
        <w:tc>
          <w:tcPr>
            <w:tcW w:type="dxa" w:w="1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2,980 ± 340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2,980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18.4 ± 2.2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CCFFD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C2A"/>
                <w:sz w:val="18"/>
                <w:szCs w:val="18"/>
              </w:rPr>
              <w:t xml:space="preserve">100% (IV def.)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CCFFD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C2A"/>
                <w:sz w:val="18"/>
                <w:szCs w:val="18"/>
              </w:rPr>
              <w:t xml:space="preserve">Reference</w:t>
            </w:r>
          </w:p>
        </w:tc>
      </w:tr>
      <w:tr>
        <w:tc>
          <w:tcPr>
            <w:tcW w:type="dxa" w:w="14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 (exploratory)</w:t>
            </w:r>
          </w:p>
        </w:tc>
        <w:tc>
          <w:tcPr>
            <w:tcW w:type="dxa" w:w="1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14,840 ± 1,680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2,968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19.8 ± 2.4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CCFFD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C2A"/>
                <w:sz w:val="18"/>
                <w:szCs w:val="18"/>
              </w:rPr>
              <w:t xml:space="preserve">100%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CCFFD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C2A"/>
                <w:sz w:val="18"/>
                <w:szCs w:val="18"/>
              </w:rPr>
              <w:t xml:space="preserve">0.996× (linear)</w:t>
            </w:r>
          </w:p>
        </w:tc>
      </w:tr>
      <w:tr>
        <w:tc>
          <w:tcPr>
            <w:tcW w:type="dxa" w:w="14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 (exploratory)</w:t>
            </w:r>
          </w:p>
        </w:tc>
        <w:tc>
          <w:tcPr>
            <w:tcW w:type="dxa" w:w="1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58,640 ± 6,840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2,932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20.2 ± 2.8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CCFFD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C2A"/>
                <w:sz w:val="18"/>
                <w:szCs w:val="18"/>
              </w:rPr>
              <w:t xml:space="preserve">100%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CCFFD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C2A"/>
                <w:sz w:val="18"/>
                <w:szCs w:val="18"/>
              </w:rPr>
              <w:t xml:space="preserve">0.984× (linear)</w:t>
            </w:r>
          </w:p>
        </w:tc>
      </w:tr>
      <w:tr>
        <w:tc>
          <w:tcPr>
            <w:tcW w:type="dxa" w:w="14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30 (GLP tox C1)</w:t>
            </w:r>
          </w:p>
        </w:tc>
        <w:tc>
          <w:tcPr>
            <w:tcW w:type="dxa" w:w="1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92,480 ± 10,240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3,083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20.6 ± 2.8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CCFFD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C2A"/>
                <w:sz w:val="18"/>
                <w:szCs w:val="18"/>
              </w:rPr>
              <w:t xml:space="preserve">100%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CCFFD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C2A"/>
                <w:sz w:val="18"/>
                <w:szCs w:val="18"/>
              </w:rPr>
              <w:t xml:space="preserve">1.034× (linear)</w:t>
            </w:r>
          </w:p>
        </w:tc>
      </w:tr>
      <w:tr>
        <w:tc>
          <w:tcPr>
            <w:tcW w:type="dxa" w:w="14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100 (GLP tox C1)</w:t>
            </w:r>
          </w:p>
        </w:tc>
        <w:tc>
          <w:tcPr>
            <w:tcW w:type="dxa" w:w="1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305,600 ± 27,200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3,056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20.8 ± 2.6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CCFFD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C2A"/>
                <w:sz w:val="18"/>
                <w:szCs w:val="18"/>
              </w:rPr>
              <w:t xml:space="preserve">100%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CCFFD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C2A"/>
                <w:sz w:val="18"/>
                <w:szCs w:val="18"/>
              </w:rPr>
              <w:t xml:space="preserve">1.026× (linear)</w:t>
            </w:r>
          </w:p>
        </w:tc>
      </w:tr>
    </w:tbl>
    <w:p>
      <w:pPr>
        <w:spacing w:before="50" w:after="50"/>
      </w:pPr>
      <w:r>
        <w:rPr>
          <w:rFonts w:ascii="Arial" w:cs="Arial" w:eastAsia="Arial" w:hAnsi="Arial"/>
          <w:i/>
          <w:iCs/>
          <w:color w:val="555555"/>
          <w:sz w:val="17"/>
          <w:szCs w:val="17"/>
        </w:rPr>
        <w:t xml:space="preserve">Table 2.1. Absolute bioavailability and dose-proportionality confirmation. Power model: AUC = 2,985 × Dose^1.002 (95% CI: 0.991–1.013); slope not significantly different from 1.0 (p=0.84) — confirms dose-proportional kinetics over the 1–100 mg/kg range. DN-AUC values are consistent across all doses (CV &lt;3%), confirming F=100% and absence of any pre-systemic elimination for the IV route. This is expected for a large IgG4 protein administered IV [2].</w:t>
      </w:r>
    </w:p>
    <w:p>
      <w:pPr>
        <w:spacing w:before="80" w:after="80"/>
      </w:pPr>
    </w:p>
    <w:p>
      <w:pPr>
        <w:pStyle w:val="Heading2"/>
        <w:spacing w:before="200" w:after="100"/>
      </w:pPr>
      <w:r>
        <w:rPr>
          <w:rFonts w:ascii="Arial" w:cs="Arial" w:eastAsia="Arial" w:hAnsi="Arial"/>
          <w:b/>
          <w:bCs/>
          <w:color w:val="2E6DA4"/>
          <w:sz w:val="22"/>
          <w:szCs w:val="22"/>
        </w:rPr>
        <w:t xml:space="preserve">2.2 Infusion Rate Assessment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Cervimab is formulated at 10 mg/mL and administered as a 60-minute IV infusion. The 60-minute infusion duration was selected based on: (1) preclinical safety (no infusion-site reactions at any dose in cynomolgus monkeys), (2) clinical class precedent (pembrolizumab 30 min; nivolumab 60 min; approved infusion times for IgG4 anti-PD-1 agents), (3) rate of rise of Cmax limited to reduce acute infusion reactions. No infusion-related reactions were observed in either the single-dose or 13-week repeat-dose GLP toxicology studies at infusion rates up to 100 mg/kg over 60 minutes (equivalent to ~16.7 mg/kg/min).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680"/>
        <w:gridCol w:w="1680"/>
        <w:gridCol w:w="4200"/>
      </w:tblGrid>
      <w:tr>
        <w:tc>
          <w:tcPr>
            <w:tcW w:type="dxa" w:w="18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Parameter</w:t>
            </w:r>
          </w:p>
        </w:tc>
        <w:tc>
          <w:tcPr>
            <w:tcW w:type="dxa" w:w="168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Cervimab (proposed)</w:t>
            </w:r>
          </w:p>
        </w:tc>
        <w:tc>
          <w:tcPr>
            <w:tcW w:type="dxa" w:w="168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Clinical precedent range</w:t>
            </w:r>
          </w:p>
        </w:tc>
        <w:tc>
          <w:tcPr>
            <w:tcW w:type="dxa" w:w="42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Assessment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Formulation concentration</w:t>
            </w:r>
          </w:p>
        </w:tc>
        <w:tc>
          <w:tcPr>
            <w:tcW w:type="dxa" w:w="1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 mg/mL</w:t>
            </w:r>
          </w:p>
        </w:tc>
        <w:tc>
          <w:tcPr>
            <w:tcW w:type="dxa" w:w="1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5–25 mg/mL (PD-1 class)</w:t>
            </w:r>
          </w:p>
        </w:tc>
        <w:tc>
          <w:tcPr>
            <w:tcW w:type="dxa" w:w="4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Standard IgG4 concentration; consistent with pembrolizumab 25 mg/mL diluted to 1–10 mg/mL pre-infusion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Infusion duration (400 mg dose)</w:t>
            </w:r>
          </w:p>
        </w:tc>
        <w:tc>
          <w:tcPr>
            <w:tcW w:type="dxa" w:w="1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30 minutes</w:t>
            </w:r>
          </w:p>
        </w:tc>
        <w:tc>
          <w:tcPr>
            <w:tcW w:type="dxa" w:w="1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30–60 min (PD-1 class)</w:t>
            </w:r>
          </w:p>
        </w:tc>
        <w:tc>
          <w:tcPr>
            <w:tcW w:type="dxa" w:w="4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400 mg in 40 mL (10 mg/mL) diluted to 100 mL in 0.9% NaCl: infuse at 200 mL/h over 30 min. Validated with no adverse infusion reactions in Phase 1 (n=54)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Osmolarity (in-use dilution)</w:t>
            </w:r>
          </w:p>
        </w:tc>
        <w:tc>
          <w:tcPr>
            <w:tcW w:type="dxa" w:w="1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~290 mOsm/L</w:t>
            </w:r>
          </w:p>
        </w:tc>
        <w:tc>
          <w:tcPr>
            <w:tcW w:type="dxa" w:w="1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Isotonic (285–310 mOsm/L)</w:t>
            </w:r>
          </w:p>
        </w:tc>
        <w:tc>
          <w:tcPr>
            <w:tcW w:type="dxa" w:w="4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Compatible with standard IV administration sets; no hypotonic hemolysis risk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Leachables / sorption</w:t>
            </w:r>
          </w:p>
        </w:tc>
        <w:tc>
          <w:tcPr>
            <w:tcW w:type="dxa" w:w="1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 detected (24h RT sorbent screen)</w:t>
            </w:r>
          </w:p>
        </w:tc>
        <w:tc>
          <w:tcPr>
            <w:tcW w:type="dxa" w:w="1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Standard for IgG4</w:t>
            </w:r>
          </w:p>
        </w:tc>
        <w:tc>
          <w:tcPr>
            <w:tcW w:type="dxa" w:w="4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Polysorbate 80 (0.02%) prevents glass sorption and surfactant-induced aggregation; consistent with IgG4 formulation standards [8]</w:t>
            </w:r>
          </w:p>
        </w:tc>
      </w:tr>
    </w:tbl>
    <w:p>
      <w:pPr>
        <w:spacing w:before="80" w:after="80"/>
      </w:pPr>
    </w:p>
    <w:p>
      <w:pPr>
        <w:pStyle w:val="Heading1"/>
        <w:pBdr>
          <w:bottom w:val="single" w:color="2E6DA4" w:sz="8" w:space="1"/>
        </w:pBdr>
        <w:spacing w:before="300" w:after="12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3. Predicted Human Bioavailability Profile</w:t>
      </w:r>
    </w:p>
    <w:p>
      <w:pPr>
        <w:pStyle w:val="Heading2"/>
        <w:spacing w:before="200" w:after="100"/>
      </w:pPr>
      <w:r>
        <w:rPr>
          <w:rFonts w:ascii="Arial" w:cs="Arial" w:eastAsia="Arial" w:hAnsi="Arial"/>
          <w:b/>
          <w:bCs/>
          <w:color w:val="2E6DA4"/>
          <w:sz w:val="22"/>
          <w:szCs w:val="22"/>
        </w:rPr>
        <w:t xml:space="preserve">3.1 Single-Dose Simulated Plasma Concentration-Time Profile (400 mg IV, Q3W)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The following represents the model-predicted (2-compartment TMDD, allometrically scaled) plasma concentration-time profile for a single 400 mg IV infusion over 30 minutes in a typical 70 kg patient. Predicted values include the 90% prediction interval (5th–95th percentile) from Monte Carlo simulation (n=1,000 subjects, covariates from Phase 1 dataset). Observed Phase 1 data at 400 mg Q3W are included for validation. The approach to bioavailability characterization follows published frameworks for mAb PK prediction from primate data </w:t>
      </w:r>
      <w:r>
        <w:rPr>
          <w:rFonts w:ascii="Arial" w:cs="Arial" w:eastAsia="Arial" w:hAnsi="Arial"/>
          <w:color w:val="2E6DA4"/>
          <w:sz w:val="16"/>
          <w:szCs w:val="16"/>
          <w:vertAlign w:val="superscript"/>
        </w:rPr>
        <w:t xml:space="preserve">[3]</w:t>
      </w:r>
      <w:r>
        <w:rPr>
          <w:rFonts w:ascii="Arial" w:cs="Arial" w:eastAsia="Arial" w:hAnsi="Arial"/>
          <w:sz w:val="20"/>
          <w:szCs w:val="20"/>
        </w:rPr>
        <w:t xml:space="preserve">, </w:t>
      </w:r>
      <w:r>
        <w:rPr>
          <w:rFonts w:ascii="Arial" w:cs="Arial" w:eastAsia="Arial" w:hAnsi="Arial"/>
          <w:color w:val="2E6DA4"/>
          <w:sz w:val="16"/>
          <w:szCs w:val="16"/>
          <w:vertAlign w:val="superscript"/>
        </w:rPr>
        <w:t xml:space="preserve">[4]</w:t>
      </w:r>
      <w:r>
        <w:rPr>
          <w:rFonts w:ascii="Arial" w:cs="Arial" w:eastAsia="Arial" w:hAnsi="Arial"/>
          <w:sz w:val="20"/>
          <w:szCs w:val="20"/>
        </w:rPr>
        <w:t xml:space="preserve">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20"/>
        <w:gridCol w:w="1440"/>
        <w:gridCol w:w="1440"/>
        <w:gridCol w:w="1440"/>
        <w:gridCol w:w="2040"/>
        <w:gridCol w:w="1680"/>
      </w:tblGrid>
      <w:tr>
        <w:tc>
          <w:tcPr>
            <w:tcW w:type="dxa" w:w="132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Time (h)</w:t>
            </w:r>
          </w:p>
        </w:tc>
        <w:tc>
          <w:tcPr>
            <w:tcW w:type="dxa" w:w="144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Conc (µg/mL) Predicted median</w:t>
            </w:r>
          </w:p>
        </w:tc>
        <w:tc>
          <w:tcPr>
            <w:tcW w:type="dxa" w:w="144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5th pctile</w:t>
            </w:r>
          </w:p>
        </w:tc>
        <w:tc>
          <w:tcPr>
            <w:tcW w:type="dxa" w:w="144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95th pctile</w:t>
            </w:r>
          </w:p>
        </w:tc>
        <w:tc>
          <w:tcPr>
            <w:tcW w:type="dxa" w:w="204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Observed mean (Phase 1, n=18)</w:t>
            </w:r>
          </w:p>
        </w:tc>
        <w:tc>
          <w:tcPr>
            <w:tcW w:type="dxa" w:w="168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13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 (pre-dose)</w:t>
            </w:r>
          </w:p>
        </w:tc>
        <w:tc>
          <w:tcPr>
            <w:tcW w:type="dxa" w:w="14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</w:t>
            </w:r>
          </w:p>
        </w:tc>
        <w:tc>
          <w:tcPr>
            <w:tcW w:type="dxa" w:w="14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</w:t>
            </w:r>
          </w:p>
        </w:tc>
        <w:tc>
          <w:tcPr>
            <w:tcW w:type="dxa" w:w="14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</w:t>
            </w:r>
          </w:p>
        </w:tc>
        <w:tc>
          <w:tcPr>
            <w:tcW w:type="dxa" w:w="20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</w:t>
            </w:r>
          </w:p>
        </w:tc>
        <w:tc>
          <w:tcPr>
            <w:tcW w:type="dxa" w:w="1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Baseline (Cycle 1 predose)</w:t>
            </w:r>
          </w:p>
        </w:tc>
      </w:tr>
      <w:tr>
        <w:tc>
          <w:tcPr>
            <w:tcW w:type="dxa" w:w="13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0.5 (end infusion)</w:t>
            </w:r>
          </w:p>
        </w:tc>
        <w:tc>
          <w:tcPr>
            <w:tcW w:type="dxa" w:w="14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96.2</w:t>
            </w:r>
          </w:p>
        </w:tc>
        <w:tc>
          <w:tcPr>
            <w:tcW w:type="dxa" w:w="14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62.4</w:t>
            </w:r>
          </w:p>
        </w:tc>
        <w:tc>
          <w:tcPr>
            <w:tcW w:type="dxa" w:w="14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148.8</w:t>
            </w:r>
          </w:p>
        </w:tc>
        <w:tc>
          <w:tcPr>
            <w:tcW w:type="dxa" w:w="20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98.4 ± 14.2</w:t>
            </w:r>
          </w:p>
        </w:tc>
        <w:tc>
          <w:tcPr>
            <w:tcW w:type="dxa" w:w="1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Cmax (nominal Tmax = end of 30-min infusion)</w:t>
            </w:r>
          </w:p>
        </w:tc>
      </w:tr>
      <w:tr>
        <w:tc>
          <w:tcPr>
            <w:tcW w:type="dxa" w:w="13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14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82.4</w:t>
            </w:r>
          </w:p>
        </w:tc>
        <w:tc>
          <w:tcPr>
            <w:tcW w:type="dxa" w:w="14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52.8</w:t>
            </w:r>
          </w:p>
        </w:tc>
        <w:tc>
          <w:tcPr>
            <w:tcW w:type="dxa" w:w="14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128.2</w:t>
            </w:r>
          </w:p>
        </w:tc>
        <w:tc>
          <w:tcPr>
            <w:tcW w:type="dxa" w:w="20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84.6 ± 12.8</w:t>
            </w:r>
          </w:p>
        </w:tc>
        <w:tc>
          <w:tcPr>
            <w:tcW w:type="dxa" w:w="1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Distribution phase; rapid drop in α-phase</w:t>
            </w:r>
          </w:p>
        </w:tc>
      </w:tr>
      <w:tr>
        <w:tc>
          <w:tcPr>
            <w:tcW w:type="dxa" w:w="13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24</w:t>
            </w:r>
          </w:p>
        </w:tc>
        <w:tc>
          <w:tcPr>
            <w:tcW w:type="dxa" w:w="14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72.8</w:t>
            </w:r>
          </w:p>
        </w:tc>
        <w:tc>
          <w:tcPr>
            <w:tcW w:type="dxa" w:w="14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46.4</w:t>
            </w:r>
          </w:p>
        </w:tc>
        <w:tc>
          <w:tcPr>
            <w:tcW w:type="dxa" w:w="14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112.6</w:t>
            </w:r>
          </w:p>
        </w:tc>
        <w:tc>
          <w:tcPr>
            <w:tcW w:type="dxa" w:w="20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74.2 ± 11.4</w:t>
            </w:r>
          </w:p>
        </w:tc>
        <w:tc>
          <w:tcPr>
            <w:tcW w:type="dxa" w:w="1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End of α-phase; beginning of terminal phase</w:t>
            </w:r>
          </w:p>
        </w:tc>
      </w:tr>
      <w:tr>
        <w:tc>
          <w:tcPr>
            <w:tcW w:type="dxa" w:w="13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168 (Day 8)</w:t>
            </w:r>
          </w:p>
        </w:tc>
        <w:tc>
          <w:tcPr>
            <w:tcW w:type="dxa" w:w="14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52.4</w:t>
            </w:r>
          </w:p>
        </w:tc>
        <w:tc>
          <w:tcPr>
            <w:tcW w:type="dxa" w:w="14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32.8</w:t>
            </w:r>
          </w:p>
        </w:tc>
        <w:tc>
          <w:tcPr>
            <w:tcW w:type="dxa" w:w="14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82.4</w:t>
            </w:r>
          </w:p>
        </w:tc>
        <w:tc>
          <w:tcPr>
            <w:tcW w:type="dxa" w:w="20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54.8 ± 10.2</w:t>
            </w:r>
          </w:p>
        </w:tc>
        <w:tc>
          <w:tcPr>
            <w:tcW w:type="dxa" w:w="1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Terminal elimination phase (FcRn)</w:t>
            </w:r>
          </w:p>
        </w:tc>
      </w:tr>
      <w:tr>
        <w:tc>
          <w:tcPr>
            <w:tcW w:type="dxa" w:w="13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336 (Day 15)</w:t>
            </w:r>
          </w:p>
        </w:tc>
        <w:tc>
          <w:tcPr>
            <w:tcW w:type="dxa" w:w="14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36.4</w:t>
            </w:r>
          </w:p>
        </w:tc>
        <w:tc>
          <w:tcPr>
            <w:tcW w:type="dxa" w:w="14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22.4</w:t>
            </w:r>
          </w:p>
        </w:tc>
        <w:tc>
          <w:tcPr>
            <w:tcW w:type="dxa" w:w="14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58.2</w:t>
            </w:r>
          </w:p>
        </w:tc>
        <w:tc>
          <w:tcPr>
            <w:tcW w:type="dxa" w:w="20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38.2 ± 8.4</w:t>
            </w:r>
          </w:p>
        </w:tc>
        <w:tc>
          <w:tcPr>
            <w:tcW w:type="dxa" w:w="1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~12 days post dose</w:t>
            </w:r>
          </w:p>
        </w:tc>
      </w:tr>
      <w:tr>
        <w:tc>
          <w:tcPr>
            <w:tcW w:type="dxa" w:w="13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504 (Day 22, C2 predose)</w:t>
            </w:r>
          </w:p>
        </w:tc>
        <w:tc>
          <w:tcPr>
            <w:tcW w:type="dxa" w:w="14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28.4</w:t>
            </w:r>
          </w:p>
        </w:tc>
        <w:tc>
          <w:tcPr>
            <w:tcW w:type="dxa" w:w="14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16.8</w:t>
            </w:r>
          </w:p>
        </w:tc>
        <w:tc>
          <w:tcPr>
            <w:tcW w:type="dxa" w:w="14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46.2</w:t>
            </w:r>
          </w:p>
        </w:tc>
        <w:tc>
          <w:tcPr>
            <w:tcW w:type="dxa" w:w="20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30.2 ± 6.8</w:t>
            </w:r>
          </w:p>
        </w:tc>
        <w:tc>
          <w:tcPr>
            <w:tcW w:type="dxa" w:w="1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Cmin (C1 trough) — all &gt;1 µg/mL target</w:t>
            </w:r>
          </w:p>
        </w:tc>
      </w:tr>
    </w:tbl>
    <w:p>
      <w:pPr>
        <w:spacing w:before="50" w:after="50"/>
      </w:pPr>
      <w:r>
        <w:rPr>
          <w:rFonts w:ascii="Arial" w:cs="Arial" w:eastAsia="Arial" w:hAnsi="Arial"/>
          <w:i/>
          <w:iCs/>
          <w:color w:val="555555"/>
          <w:sz w:val="17"/>
          <w:szCs w:val="17"/>
        </w:rPr>
        <w:t xml:space="preserve">Table 3.1. Predicted vs observed plasma concentration-time data. All observed Phase 1 values within predicted 5th–95th percentile range — excellent model-to-clinical concordance. Pred/Obs ratio at all timepoints: 0.92–1.06. Cmin Day 22 (C1 trough) = 28.4 µg/mL predicted (30.2 µg/mL observed) — well above the 1 µg/mL RO target. Confirms that 400 mg Q3W maintains sustained near-complete PD-1 RO at trough in &gt;99% of patients (see PKPD model report MOS-PKPD-2022-002).</w:t>
      </w:r>
    </w:p>
    <w:p>
      <w:pPr>
        <w:spacing w:before="80" w:after="80"/>
      </w:pPr>
    </w:p>
    <w:p>
      <w:pPr>
        <w:pStyle w:val="Heading2"/>
        <w:spacing w:before="200" w:after="100"/>
      </w:pPr>
      <w:r>
        <w:rPr>
          <w:rFonts w:ascii="Arial" w:cs="Arial" w:eastAsia="Arial" w:hAnsi="Arial"/>
          <w:b/>
          <w:bCs/>
          <w:color w:val="2E6DA4"/>
          <w:sz w:val="22"/>
          <w:szCs w:val="22"/>
        </w:rPr>
        <w:t xml:space="preserve">3.2 Effects of Covariates on Cervimab Bioavailability/Exposure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Covariate analysis was performed in the Phase 1 popPK analysis (N=146, Phases 1+2a pooled). The following covariates were tested: body weight (BW), sex, age, ECOG PS, baseline albumin, renal function (eGFR), and hepatic function (Child-Pugh). For large IgG4 mAbs, FcRn-mediated clearance is the dominant elimination pathway; factors affecting FcRn saturation or expression are the primary PK determinants </w:t>
      </w:r>
      <w:r>
        <w:rPr>
          <w:rFonts w:ascii="Arial" w:cs="Arial" w:eastAsia="Arial" w:hAnsi="Arial"/>
          <w:color w:val="2E6DA4"/>
          <w:sz w:val="16"/>
          <w:szCs w:val="16"/>
          <w:vertAlign w:val="superscript"/>
        </w:rPr>
        <w:t xml:space="preserve">[1]</w:t>
      </w:r>
      <w:r>
        <w:rPr>
          <w:rFonts w:ascii="Arial" w:cs="Arial" w:eastAsia="Arial" w:hAnsi="Arial"/>
          <w:sz w:val="20"/>
          <w:szCs w:val="20"/>
        </w:rPr>
        <w:t xml:space="preserve">. Renal function does not affect mAb clearance (no renal filtration for MW 144 kDa) </w:t>
      </w:r>
      <w:r>
        <w:rPr>
          <w:rFonts w:ascii="Arial" w:cs="Arial" w:eastAsia="Arial" w:hAnsi="Arial"/>
          <w:color w:val="2E6DA4"/>
          <w:sz w:val="16"/>
          <w:szCs w:val="16"/>
          <w:vertAlign w:val="superscript"/>
        </w:rPr>
        <w:t xml:space="preserve">[6]</w:t>
      </w:r>
      <w:r>
        <w:rPr>
          <w:rFonts w:ascii="Arial" w:cs="Arial" w:eastAsia="Arial" w:hAnsi="Arial"/>
          <w:sz w:val="20"/>
          <w:szCs w:val="20"/>
        </w:rPr>
        <w:t xml:space="preserve">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440"/>
        <w:gridCol w:w="1560"/>
        <w:gridCol w:w="3960"/>
      </w:tblGrid>
      <w:tr>
        <w:tc>
          <w:tcPr>
            <w:tcW w:type="dxa" w:w="24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Covariate</w:t>
            </w:r>
          </w:p>
        </w:tc>
        <w:tc>
          <w:tcPr>
            <w:tcW w:type="dxa" w:w="144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Effect on CL</w:t>
            </w:r>
          </w:p>
        </w:tc>
        <w:tc>
          <w:tcPr>
            <w:tcW w:type="dxa" w:w="156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Dose adjustment needed?</w:t>
            </w:r>
          </w:p>
        </w:tc>
        <w:tc>
          <w:tcPr>
            <w:tcW w:type="dxa" w:w="396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Regulatory basis and clinical significance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Body weight (continuous)</w:t>
            </w:r>
          </w:p>
        </w:tc>
        <w:tc>
          <w:tcPr>
            <w:tcW w:type="dxa" w:w="14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Power model: CL ∝ BW^0.48 (partial exponent)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CCFFD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C2A"/>
                <w:sz w:val="18"/>
                <w:szCs w:val="18"/>
              </w:rPr>
              <w:t xml:space="preserve">None (flat dose)</w:t>
            </w:r>
          </w:p>
        </w:tc>
        <w:tc>
          <w:tcPr>
            <w:tcW w:type="dxa" w:w="3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With flat 400 mg Q3W, AUC variability across 40–120 kg body weight: CV 32%. Compared to 38% for weight-based dosing. Flat dose reduces variability and is preferred per model-informed framework [7]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Baseline albumin</w:t>
            </w:r>
          </w:p>
        </w:tc>
        <w:tc>
          <w:tcPr>
            <w:tcW w:type="dxa" w:w="14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Albumin ↑1 g/dL → CL ↓11%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CCFFD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C2A"/>
                <w:sz w:val="18"/>
                <w:szCs w:val="18"/>
              </w:rPr>
              <w:t xml:space="preserve">None</w:t>
            </w:r>
          </w:p>
        </w:tc>
        <w:tc>
          <w:tcPr>
            <w:tcW w:type="dxa" w:w="3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Albumin is a validated FcRn functional marker [1]; lower albumin (malnutrition) mildly increases CL. Effect size not clinically significant (&lt;25% AUC change across albumin 2.5–5.0 g/dL range)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Sex</w:t>
            </w:r>
          </w:p>
        </w:tc>
        <w:tc>
          <w:tcPr>
            <w:tcW w:type="dxa" w:w="14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 vs M: CL 6% lower in females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CCFFD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C2A"/>
                <w:sz w:val="18"/>
                <w:szCs w:val="18"/>
              </w:rPr>
              <w:t xml:space="preserve">None</w:t>
            </w:r>
          </w:p>
        </w:tc>
        <w:tc>
          <w:tcPr>
            <w:tcW w:type="dxa" w:w="3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 clinically meaningful (&lt;25% difference threshold); consistent with published sex effects on mAb PK [5]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Age (18–82 years)</w:t>
            </w:r>
          </w:p>
        </w:tc>
        <w:tc>
          <w:tcPr>
            <w:tcW w:type="dxa" w:w="14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 significant effect on CL or V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CCFFD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C2A"/>
                <w:sz w:val="18"/>
                <w:szCs w:val="18"/>
              </w:rPr>
              <w:t xml:space="preserve">None</w:t>
            </w:r>
          </w:p>
        </w:tc>
        <w:tc>
          <w:tcPr>
            <w:tcW w:type="dxa" w:w="3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Age not a significant covariate in popPK model (p=0.24); consistent with IgG4 class data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Renal impairment (eGFR &lt;30)</w:t>
            </w:r>
          </w:p>
        </w:tc>
        <w:tc>
          <w:tcPr>
            <w:tcW w:type="dxa" w:w="14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 effect on CL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CCFFD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C2A"/>
                <w:sz w:val="18"/>
                <w:szCs w:val="18"/>
              </w:rPr>
              <w:t xml:space="preserve">None</w:t>
            </w:r>
          </w:p>
        </w:tc>
        <w:tc>
          <w:tcPr>
            <w:tcW w:type="dxa" w:w="3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Intact mAb not renally cleared (MW 144 kDa); consistent with Yip et al. 2020 [6] showing renal function does not require mAb dose adjustment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ADA positive (high-titer)</w:t>
            </w:r>
          </w:p>
        </w:tc>
        <w:tc>
          <w:tcPr>
            <w:tcW w:type="dxa" w:w="14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 ↑18–42% in ADA+ patients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CCF0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6B6B"/>
                <w:sz w:val="18"/>
                <w:szCs w:val="18"/>
              </w:rPr>
              <w:t xml:space="preserve">Monitor; no standard adjustment</w:t>
            </w:r>
          </w:p>
        </w:tc>
        <w:tc>
          <w:tcPr>
            <w:tcW w:type="dxa" w:w="3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ADA-enhanced CL observed in ~12% of Phase 1 patients (low titer: n=2, not associated with altered PK). High-titer ADA rare in human patients vs NHP (pembrolizumab ADA rate &lt;1% in humans vs high in NHP [4])</w:t>
            </w:r>
          </w:p>
        </w:tc>
      </w:tr>
    </w:tbl>
    <w:p>
      <w:pPr>
        <w:spacing w:before="80" w:after="80"/>
      </w:pPr>
    </w:p>
    <w:p>
      <w:pPr>
        <w:pStyle w:val="Heading1"/>
        <w:pBdr>
          <w:bottom w:val="single" w:color="2E6DA4" w:sz="8" w:space="1"/>
        </w:pBdr>
        <w:spacing w:before="300" w:after="12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4. References</w:t>
      </w:r>
    </w:p>
    <w:p>
      <w:pPr>
        <w:spacing w:before="40" w:after="40"/>
        <w:ind w:left="360" w:hanging="360"/>
      </w:pPr>
      <w:r>
        <w:rPr>
          <w:rFonts w:ascii="Arial" w:cs="Arial" w:eastAsia="Arial" w:hAnsi="Arial"/>
          <w:b/>
          <w:bCs/>
          <w:color w:val="2E6DA4"/>
          <w:sz w:val="17"/>
          <w:szCs w:val="17"/>
        </w:rPr>
        <w:t xml:space="preserve">1.  </w:t>
      </w:r>
      <w:r>
        <w:rPr>
          <w:rFonts w:ascii="Arial" w:cs="Arial" w:eastAsia="Arial" w:hAnsi="Arial"/>
          <w:color w:val="333333"/>
          <w:sz w:val="17"/>
          <w:szCs w:val="17"/>
        </w:rPr>
        <w:t xml:space="preserve">Fasanmade AA et al. Pharmacokinetic properties of infliximab in patients with Crohn's disease. Eur J Clin Pharmacol. 2009;65(7):737–748.</w:t>
      </w:r>
    </w:p>
    <w:p>
      <w:pPr>
        <w:spacing w:before="40" w:after="40"/>
        <w:ind w:left="360" w:hanging="360"/>
      </w:pPr>
      <w:r>
        <w:rPr>
          <w:rFonts w:ascii="Arial" w:cs="Arial" w:eastAsia="Arial" w:hAnsi="Arial"/>
          <w:b/>
          <w:bCs/>
          <w:color w:val="2E6DA4"/>
          <w:sz w:val="17"/>
          <w:szCs w:val="17"/>
        </w:rPr>
        <w:t xml:space="preserve">2.  </w:t>
      </w:r>
      <w:r>
        <w:rPr>
          <w:rFonts w:ascii="Arial" w:cs="Arial" w:eastAsia="Arial" w:hAnsi="Arial"/>
          <w:color w:val="333333"/>
          <w:sz w:val="17"/>
          <w:szCs w:val="17"/>
        </w:rPr>
        <w:t xml:space="preserve">Wang W et al. Monoclonal antibody pharmacokinetics and pharmacodynamics. Clin Pharmacol Ther. 2008;84(5):548–558.</w:t>
      </w:r>
    </w:p>
    <w:p>
      <w:pPr>
        <w:spacing w:before="40" w:after="40"/>
        <w:ind w:left="360" w:hanging="360"/>
      </w:pPr>
      <w:r>
        <w:rPr>
          <w:rFonts w:ascii="Arial" w:cs="Arial" w:eastAsia="Arial" w:hAnsi="Arial"/>
          <w:b/>
          <w:bCs/>
          <w:color w:val="2E6DA4"/>
          <w:sz w:val="17"/>
          <w:szCs w:val="17"/>
        </w:rPr>
        <w:t xml:space="preserve">3.  </w:t>
      </w:r>
      <w:r>
        <w:rPr>
          <w:rFonts w:ascii="Arial" w:cs="Arial" w:eastAsia="Arial" w:hAnsi="Arial"/>
          <w:color w:val="333333"/>
          <w:sz w:val="17"/>
          <w:szCs w:val="17"/>
        </w:rPr>
        <w:t xml:space="preserve">Salih F et al. Translational population pharmacokinetics of intravenous IgG monoclonal antibodies using allometric scaling. J Pharmacokinet Pharmacodyn. 2020;47(3):243–256.</w:t>
      </w:r>
    </w:p>
    <w:p>
      <w:pPr>
        <w:spacing w:before="40" w:after="40"/>
        <w:ind w:left="360" w:hanging="360"/>
      </w:pPr>
      <w:r>
        <w:rPr>
          <w:rFonts w:ascii="Arial" w:cs="Arial" w:eastAsia="Arial" w:hAnsi="Arial"/>
          <w:b/>
          <w:bCs/>
          <w:color w:val="2E6DA4"/>
          <w:sz w:val="17"/>
          <w:szCs w:val="17"/>
        </w:rPr>
        <w:t xml:space="preserve">4.  </w:t>
      </w:r>
      <w:r>
        <w:rPr>
          <w:rFonts w:ascii="Arial" w:cs="Arial" w:eastAsia="Arial" w:hAnsi="Arial"/>
          <w:color w:val="333333"/>
          <w:sz w:val="17"/>
          <w:szCs w:val="17"/>
        </w:rPr>
        <w:t xml:space="preserve">Chen W et al. Translate pharmacokinetics of PD-1/PD-L1 monoclonal antibodies from cynomolgus monkey to human. J Pharm Sci. 2024;113(9):2915–2921.</w:t>
      </w:r>
    </w:p>
    <w:p>
      <w:pPr>
        <w:spacing w:before="40" w:after="40"/>
        <w:ind w:left="360" w:hanging="360"/>
      </w:pPr>
      <w:r>
        <w:rPr>
          <w:rFonts w:ascii="Arial" w:cs="Arial" w:eastAsia="Arial" w:hAnsi="Arial"/>
          <w:b/>
          <w:bCs/>
          <w:color w:val="2E6DA4"/>
          <w:sz w:val="17"/>
          <w:szCs w:val="17"/>
        </w:rPr>
        <w:t xml:space="preserve">5.  </w:t>
      </w:r>
      <w:r>
        <w:rPr>
          <w:rFonts w:ascii="Arial" w:cs="Arial" w:eastAsia="Arial" w:hAnsi="Arial"/>
          <w:color w:val="333333"/>
          <w:sz w:val="17"/>
          <w:szCs w:val="17"/>
        </w:rPr>
        <w:t xml:space="preserve">Dirks NL et al. Population pharmacokinetics of cetuximab in patients with squamous cell carcinoma of the head and neck. J Clin Pharmacol. 2008;48(3):267–278.</w:t>
      </w:r>
    </w:p>
    <w:p>
      <w:pPr>
        <w:spacing w:before="40" w:after="40"/>
        <w:ind w:left="360" w:hanging="360"/>
      </w:pPr>
      <w:r>
        <w:rPr>
          <w:rFonts w:ascii="Arial" w:cs="Arial" w:eastAsia="Arial" w:hAnsi="Arial"/>
          <w:b/>
          <w:bCs/>
          <w:color w:val="2E6DA4"/>
          <w:sz w:val="17"/>
          <w:szCs w:val="17"/>
        </w:rPr>
        <w:t xml:space="preserve">6.  </w:t>
      </w:r>
      <w:r>
        <w:rPr>
          <w:rFonts w:ascii="Arial" w:cs="Arial" w:eastAsia="Arial" w:hAnsi="Arial"/>
          <w:color w:val="333333"/>
          <w:sz w:val="17"/>
          <w:szCs w:val="17"/>
        </w:rPr>
        <w:t xml:space="preserve">Yip V et al. Quantitative prediction of the effects of renal impairment on the pharmacokinetics of monoclonal antibodies. AAPS J. 2020;22(3):58.</w:t>
      </w:r>
    </w:p>
    <w:p>
      <w:pPr>
        <w:spacing w:before="40" w:after="40"/>
        <w:ind w:left="360" w:hanging="360"/>
      </w:pPr>
      <w:r>
        <w:rPr>
          <w:rFonts w:ascii="Arial" w:cs="Arial" w:eastAsia="Arial" w:hAnsi="Arial"/>
          <w:b/>
          <w:bCs/>
          <w:color w:val="2E6DA4"/>
          <w:sz w:val="17"/>
          <w:szCs w:val="17"/>
        </w:rPr>
        <w:t xml:space="preserve">7.  </w:t>
      </w:r>
      <w:r>
        <w:rPr>
          <w:rFonts w:ascii="Arial" w:cs="Arial" w:eastAsia="Arial" w:hAnsi="Arial"/>
          <w:color w:val="333333"/>
          <w:sz w:val="17"/>
          <w:szCs w:val="17"/>
        </w:rPr>
        <w:t xml:space="preserve">Robbie GJ et al. A novel investigational Fc-modified humanized monoclonal antibody, motavizumab-YTE, has an extended half-life in healthy adults. Antimicrob Agents Chemother. 2013;57(12):6147–6153.</w:t>
      </w:r>
    </w:p>
    <w:p>
      <w:pPr>
        <w:spacing w:before="40" w:after="40"/>
        <w:ind w:left="360" w:hanging="360"/>
      </w:pPr>
      <w:r>
        <w:rPr>
          <w:rFonts w:ascii="Arial" w:cs="Arial" w:eastAsia="Arial" w:hAnsi="Arial"/>
          <w:b/>
          <w:bCs/>
          <w:color w:val="2E6DA4"/>
          <w:sz w:val="17"/>
          <w:szCs w:val="17"/>
        </w:rPr>
        <w:t xml:space="preserve">8.  </w:t>
      </w:r>
      <w:r>
        <w:rPr>
          <w:rFonts w:ascii="Arial" w:cs="Arial" w:eastAsia="Arial" w:hAnsi="Arial"/>
          <w:color w:val="333333"/>
          <w:sz w:val="17"/>
          <w:szCs w:val="17"/>
        </w:rPr>
        <w:t xml:space="preserve">Dooley MJ et al. Practical assessment and management of biosimilar interchangeability. Future Oncol. 2018;14(30):3153–3166.</w:t>
      </w:r>
    </w:p>
    <w:p>
      <w:pPr>
        <w:spacing w:before="80" w:after="80"/>
      </w:pPr>
    </w:p>
    <w:p>
      <w:pPr>
        <w:spacing w:before="50" w:after="50"/>
      </w:pPr>
      <w:r>
        <w:rPr>
          <w:rFonts w:ascii="Arial" w:cs="Arial" w:eastAsia="Arial" w:hAnsi="Arial"/>
          <w:i/>
          <w:iCs/>
          <w:color w:val="555555"/>
          <w:sz w:val="17"/>
          <w:szCs w:val="17"/>
        </w:rPr>
        <w:t xml:space="preserve">Prepared by: Clinical Pharmacology / DMPK Group, Meridian Oncology Sciences | Document: MOS-BA-2022-003 v1.8</w:t>
      </w:r>
    </w:p>
    <w:sectPr>
      <w:headerReference w:type="default" r:id="rId6"/>
      <w:footerReference w:type="default" r:id="rId7"/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6DA4" w:sz="4"/>
      </w:pBdr>
    </w:pPr>
    <w:r>
      <w:rPr>
        <w:rFonts w:ascii="Arial" w:cs="Arial" w:eastAsia="Arial" w:hAnsi="Arial"/>
        <w:color w:val="888888"/>
        <w:sz w:val="16"/>
        <w:szCs w:val="16"/>
      </w:rPr>
      <w:t xml:space="preserve">MOS-BA-2022-003 v1.8  |  Pg </w:t>
    </w:r>
    <w:pgNum/>
    <w:r>
      <w:rPr>
        <w:rFonts w:ascii="Arial" w:cs="Arial" w:eastAsia="Arial" w:hAnsi="Arial"/>
        <w:color w:val="888888"/>
        <w:sz w:val="16"/>
        <w:szCs w:val="16"/>
      </w:rPr>
      <w:t xml:space="preserve">  |  Cervimab PK/PD Program  |  21 CFR 312.23(a)(8)  |  © 2022 Meridian Oncology Sciences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6DA4" w:sz="4"/>
      </w:pBdr>
    </w:pPr>
    <w:r>
      <w:rPr>
        <w:rFonts w:ascii="Arial" w:cs="Arial" w:eastAsia="Arial" w:hAnsi="Arial"/>
        <w:b/>
        <w:bCs/>
        <w:color w:val="1A3A5C"/>
        <w:sz w:val="16"/>
        <w:szCs w:val="16"/>
      </w:rPr>
      <w:t xml:space="preserve">MERIDIAN ONCOLOGY SCIENCES  |  </w:t>
    </w:r>
    <w:r>
      <w:rPr>
        <w:rFonts w:ascii="Arial" w:cs="Arial" w:eastAsia="Arial" w:hAnsi="Arial"/>
        <w:color w:val="555555"/>
        <w:sz w:val="16"/>
        <w:szCs w:val="16"/>
      </w:rPr>
      <w:t xml:space="preserve">Bioavailability Summary Report</w:t>
    </w:r>
    <w:r>
      <w:rPr>
        <w:rFonts w:ascii="Arial" w:cs="Arial" w:eastAsia="Arial" w:hAnsi="Arial"/>
        <w:color w:val="888888"/>
        <w:sz w:val="16"/>
        <w:szCs w:val="16"/>
      </w:rPr>
      <w:t xml:space="preserve">  |  PHARMACOLOGY / PK-PD  |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00" w:after="120"/>
      <w:outlineLvl w:val="0"/>
    </w:pPr>
    <w:rPr>
      <w:rFonts w:ascii="Arial" w:cs="Arial" w:eastAsia="Arial" w:hAnsi="Arial"/>
      <w:b/>
      <w:bCs/>
      <w:color w:val="1A3A5C"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200" w:after="100"/>
      <w:outlineLvl w:val="1"/>
    </w:pPr>
    <w:rPr>
      <w:rFonts w:ascii="Arial" w:cs="Arial" w:eastAsia="Arial" w:hAnsi="Arial"/>
      <w:b/>
      <w:bCs/>
      <w:color w:val="2E6DA4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2026-03-16T12:06:34.054Z</dcterms:created>
  <dcterms:modified xsi:type="dcterms:W3CDTF">2026-03-16T12:06:34.054Z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