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MERIDIAN ONCOLOGY SCIENCES, INC.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Pharmacology, DMPK &amp; Translational Sciences Division</w:t>
      </w:r>
    </w:p>
    <w:p>
      <w:pPr>
        <w:spacing w:before="80" w:after="80"/>
      </w:pPr>
    </w:p>
    <w:p>
      <w:pPr>
        <w:pBdr>
          <w:top w:val="single" w:color="1A3A5C" w:sz="10"/>
          <w:bottom w:val="single" w:color="1A3A5C" w:sz="10"/>
        </w:pBdr>
        <w:spacing w:before="360" w:after="20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PK Parameter Table Report</w:t>
      </w:r>
    </w:p>
    <w:p>
      <w:pPr>
        <w:spacing w:before="120" w:after="36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Cervimab | Complete Pharmacokinetic Parameter Summary | Preclinical to Phase 1 Bridging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Number: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MOS-PKT-2022-004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v3.0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2022-11-15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Study Drug: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(MOS-PD1-047) | Fully Human IgG4 S228P Anti-PD-1 mAb | IND 135-892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Indication: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dMMR/MSI-H Metastatic Colorectal Cancer (mCRC)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GLP Status: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 Report | Integrates GLP and Non-GLP Studies | 21 CFR 312.23(a)(8)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Regulatory Basis: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 CFR 312.23(a)(8); ICH S6(R1); ICH S9; ICH E9(R1); FDA Oncology Dose Optimization Guidance 2022</w:t>
            </w:r>
          </w:p>
        </w:tc>
      </w:tr>
    </w:tbl>
    <w:p>
      <w:pPr>
        <w:spacing w:before="80" w:after="80"/>
      </w:pPr>
    </w:p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CONFIDENTIAL — Contains proprietary preclinical pharmacology and PK/PD data supporting IND 135-892 for Cervimab. Prepared in accordance with 21 CFR 312.23(a)(8) and ICH M4S CTD Module 2.6 format. Literature references are cited numerically in superscript throughout each section.</w:t>
      </w:r>
    </w:p>
    <w:p>
      <w:r>
        <w:br w:type="page"/>
      </w: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Introduction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report provides the comprehensive PK parameter summary for Cervimab across all preclinical and Phase 1 studies, organized by species, dose, and study phase. Parameter estimates are derived by non-compartmental analysis (NCA) using Phoenix WinNonlin v8.3 (Certara), with additional compartmental parameter estimates from the NONMEM popPK model (MOS-PKPD-2022-002). This report supports IND Module 2.7.2 Clinical Summary of PK and Phase 1 Regulatory Package. All human data presented are from study MOS-CRC-101 (Phase 1, N=54). Comparative benchmarking against the established PK parameters of pembrolizumab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[1]</w:t>
      </w:r>
      <w:r>
        <w:rPr>
          <w:rFonts w:ascii="Arial" w:cs="Arial" w:eastAsia="Arial" w:hAnsi="Arial"/>
          <w:sz w:val="20"/>
          <w:szCs w:val="20"/>
        </w:rPr>
        <w:t xml:space="preserve"> and nivolumab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[2]</w:t>
      </w:r>
      <w:r>
        <w:rPr>
          <w:rFonts w:ascii="Arial" w:cs="Arial" w:eastAsia="Arial" w:hAnsi="Arial"/>
          <w:sz w:val="20"/>
          <w:szCs w:val="20"/>
        </w:rPr>
        <w:t xml:space="preserve"> provides translational context.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Cynomolgus Monkey PK — Single-Dose NCA (Exploratory Non-GLP)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Study MOS-PK-2021-004: n=3M+3F per dose group; serial sampling (0.25, 1, 4, 24, 48, 96, 168, 336, 504, 672h post-dose); NCA by linear-log trapezoidal method (log-linear terminal phase fit); bioanalytical: validated anti-Cervimab sandwich ELISA (LLOQ 5 ng/mL). Parameters consistent with linear IgG4 PK at doses ≥3 mg/kg and mild TMDD nonlinearity at 1 mg/kg (AUC slightly sub-dose-proportional: DN-AUC ratio 0.84 at 1 mg/kg vs 5 mg/kg), consistent with published anti-PD-1 antibody PK profiles in cynomolgus monkeys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[5]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[6]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720"/>
        <w:gridCol w:w="1200"/>
        <w:gridCol w:w="1200"/>
        <w:gridCol w:w="1200"/>
        <w:gridCol w:w="1200"/>
        <w:gridCol w:w="1080"/>
        <w:gridCol w:w="1200"/>
        <w:gridCol w:w="1080"/>
      </w:tblGrid>
      <w:tr>
        <w:tc>
          <w:tcPr>
            <w:tcW w:type="dxa" w:w="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(mg/kg)</w:t>
            </w:r>
          </w:p>
        </w:tc>
        <w:tc>
          <w:tcPr>
            <w:tcW w:type="dxa" w:w="7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Cmax (µg/mL)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Tmax (h)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AUC₀₋∞ (µg·h/mL)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t½ (days)</w:t>
            </w:r>
          </w:p>
        </w:tc>
        <w:tc>
          <w:tcPr>
            <w:tcW w:type="dxa" w:w="10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 (mL/h/kg)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Vss (mL/kg)</w:t>
            </w:r>
          </w:p>
        </w:tc>
        <w:tc>
          <w:tcPr>
            <w:tcW w:type="dxa" w:w="10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MRT (days)</w:t>
            </w:r>
          </w:p>
        </w:tc>
      </w:tr>
      <w:tr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M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20.2 ± 2.4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2,740 ± 310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17.8 ± 2.2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0.365 ± 0.062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 ± 8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22.1 ± 2.8</w:t>
            </w:r>
          </w:p>
        </w:tc>
      </w:tr>
      <w:tr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F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21.4 ± 2.8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3,220 ± 380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19.0 ± 2.4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0.311 ± 0.054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 ± 10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24.4 ± 3.2</w:t>
            </w:r>
          </w:p>
        </w:tc>
      </w:tr>
      <w:tr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100.4 ± 12.2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14,280 ± 1,620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19.4 ± 2.4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0.350 ± 0.058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 ± 8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23.8 ± 3.0</w:t>
            </w:r>
          </w:p>
        </w:tc>
      </w:tr>
      <w:tr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F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107.8 ± 14.4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15,400 ± 1,840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20.2 ± 2.8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0.325 ± 0.056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 ± 9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25.2 ± 3.4</w:t>
            </w:r>
          </w:p>
        </w:tc>
      </w:tr>
      <w:tr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398 ± 48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56,240 ± 6,620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19.8 ± 2.6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0.356 ± 0.062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± 9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24.4 ± 3.2</w:t>
            </w:r>
          </w:p>
        </w:tc>
      </w:tr>
      <w:tr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F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426 ± 56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61,040 ± 7,080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20.6 ± 2.8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0.328 ± 0.054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 ± 10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25.8 ± 3.6</w:t>
            </w:r>
          </w:p>
        </w:tc>
      </w:tr>
    </w:tbl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NCA by WinNonlin v8.3 (linear-log trapezoidal). Values mean ± SD. No statistically significant sex difference (p=0.18, Mann-Whitney U). CL range 0.311–0.365 mL/h/kg consistent with WT IgG4 CL in cynomolgus monkey (3.7–6.6 mL/day/kg = 0.154–0.275 mL/h/kg for WT mAbs [6]; Cervimab CL slightly higher, partially attributable to TMDD at 1 mg/kg doses).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Cynomolgus Monkey PK — GLP 13-Week Repeat-Dose (Q2W×7)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GLP Study MOS-GLP-TOX-2022-002. TK samples collected predose C1 (Day 1) and C7 (Day 85), and at 0.25h post-end-of-infusion, 4, 24, 48, 72, 96h post each dose. n=5M+5F per group. ADA assessed concurrently (ECL bridging assay). PK was affected by ADA at 30 mg/kg (8/10 animals ADA+ by Cycle 7) — consistent with published observations of high ADA rates for human IgG4 antibodies in cynomolgus monkeys, which do not predict human ADA risk (pembrolizumab: high ADA in NHP vs ~1% in humans)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[5]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40"/>
        <w:gridCol w:w="1200"/>
        <w:gridCol w:w="1320"/>
        <w:gridCol w:w="1320"/>
        <w:gridCol w:w="1320"/>
        <w:gridCol w:w="1320"/>
        <w:gridCol w:w="840"/>
      </w:tblGrid>
      <w:tr>
        <w:tc>
          <w:tcPr>
            <w:tcW w:type="dxa" w:w="10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(mg/kg)</w:t>
            </w:r>
          </w:p>
        </w:tc>
        <w:tc>
          <w:tcPr>
            <w:tcW w:type="dxa" w:w="8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Cycle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Cmax (µg/mL)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Cmin (µg/mL)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AUC₀₋τ (µg·h/mL)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t½ (days)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Accum. Ratio</w:t>
            </w:r>
          </w:p>
        </w:tc>
        <w:tc>
          <w:tcPr>
            <w:tcW w:type="dxa" w:w="8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ADA+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M/F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 ± 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± 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1,240 ± 180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19.8 ± 2.4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M/F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 ± 10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 ± 6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1,560 ± 200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20.4 ± 2.6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1.26×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4/10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M/F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212 ± 24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 ± 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4,240 ± 480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20.2 ± 2.2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M/F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248 ± 28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 ± 10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4,980 ± 560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20.8 ± 2.4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1.17×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6/10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M/F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624 ± 72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182 ± 24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12,480 ± 1,440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20.6 ± 2.8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M/F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C7*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542 ± 84*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124 ± 28*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10,840 ± 1,280*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18.4 ± 3.2*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0.87× (↓ADA)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8/10*</w:t>
            </w:r>
          </w:p>
        </w:tc>
      </w:tr>
    </w:tbl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* ADA-enhanced clearance at 30 mg/kg Cycle 7 — reduced Cmax and AUC vs Cycle 1 (0.87× accumulation). This is expected; NHP ADA rates do not predict human immunogenicity [5]. Accumulation ratio at 3 mg/kg (1.26×) is consistent with predicted value from t½=20d and Q2W dosing: R_acc = 1/(1-e^(-0.693×14/20)) = 1.35 (slight overestimate due to nonlinear component). At 10 mg/kg (TMDD saturated), R_acc observed 1.17× vs predicted 1.28× — consistent with slightly faster effective CL due to residual TMDD contribution.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Human PK Parameters — Phase 1 Study MOS-CRC-101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Phase 1 NCA parameters from study MOS-CRC-101 (N=54 patients enrolled; 18 evaluable at 400 mg Q3W RP2D for full PK analysis). Bioanalytical: validated anti-Cervimab Fab-specific sandwich ELISA (LLOQ 0.5 µg/mL; dynamic range 0.5–500 µg/mL; selectivity: no cross-reactivity with endogenous IgG4 confirmed). Comparative benchmarking against published pembrolizumab PK at approved 200 mg Q3W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[1]</w:t>
      </w:r>
      <w:r>
        <w:rPr>
          <w:rFonts w:ascii="Arial" w:cs="Arial" w:eastAsia="Arial" w:hAnsi="Arial"/>
          <w:sz w:val="20"/>
          <w:szCs w:val="20"/>
        </w:rPr>
        <w:t xml:space="preserve"> and nivolumab 240 mg Q2W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[2]</w:t>
      </w:r>
      <w:r>
        <w:rPr>
          <w:rFonts w:ascii="Arial" w:cs="Arial" w:eastAsia="Arial" w:hAnsi="Arial"/>
          <w:sz w:val="20"/>
          <w:szCs w:val="20"/>
        </w:rPr>
        <w:t xml:space="preserve"> provides regulatory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 Parameter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Cervimab 400 mg Q3W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Pembrolizumab 200 mg Q3W [1]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Nivolumab 240 mg Q2W [2]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Cmax (Cycle 1)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98.4 ± 14.2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66.3 ± 18.4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68.4 ± 22.4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µg/mL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Cmax ~48% higher vs pembro at 2× dose (expected)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Tmax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0.5h (end infusion)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0.5h (end infusion)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1.0h (end infusion)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 with IV infusion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AUC₀₋₂₁d (Cycle 1)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14,820 ± 2,340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(Q3W)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(Q2W)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µg·h/mL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AUC₀₋₂₁d for dose interval comparison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t½ (terminal, Cycle 1)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22.3 ± 4.1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26.7 ± 7.2 days [1]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26.7 ± 7.6 days [2]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Slightly shorter t½ vs pembro/nivo (KD-driven); within IgG4 class range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 (popPK, Cycle 1)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0.210 ± 0.048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0.222 ± 0.062 [1]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0.192 ± 0.058 [2]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mL/h/kg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 with IgG4 class CL range 0.18–0.25 mL/h/kg [7]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Vss (popPK)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82.4 ± 14.8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69.8 ± 18.4 [1]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88.4 ± 22.6 [2]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mL/kg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Slightly higher Vss may reflect binding to lymph node and tumor compartments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Cmin (Cycle 1 trough, Day 22)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30.2 ± 6.8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22.4 ± 8.2 (Q3W) [1]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18.4 ± 6.8 (Q2W) [2]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µg/mL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above RO target (1 µg/mL)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Steady-state Cmin (predicted, Cycle 4+)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42.8 ± 10.4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µg/mL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1.42× accumulation at steady state; consistent with R_acc = 1/(1-e^-k×τ) for t½=22d, Q3W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 positive (Phase 1)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2/54 (3.7%) — low titer, non-neutralizing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~1.8% [pembro label]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~0.3% [nivo label]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immunogenicity consistent with fully human IgG4 design</w:t>
            </w:r>
          </w:p>
        </w:tc>
      </w:tr>
    </w:tbl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Table 4.1. Phase 1 PK parameters (N=18 at 400 mg Q3W; NCA by WinNonlin v8.3). PopPK parameters from pooled Phase 1/2a model (N=146; NONMEM v7.5.1). Comparison to pembrolizumab [1] and nivolumab [2] contextualized by dose difference; Cervimab 400 mg ≈ 5.7 mg/kg in 70 kg patient vs pembrolizumab 200 mg ≈ 2.9 mg/kg. Cervimab CL (0.210 mL/h/kg) falls within the established range for linear-clearance IgG4 mAbs (0.154–0.275 mL/h/kg) [6].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Population PK Covariate Effects on Cervimab Exposure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Covariate effects on AUC were estimated from the Phase 1/2a popPK model and expressed as percent change in AUC relative to a typical 70 kg, albumin 4.0 g/dL, ECOG 0 patient receiving 400 mg Q3W. The overall approach follows the E-R modeling framework validated for pembrolizumab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[1]</w:t>
      </w:r>
      <w:r>
        <w:rPr>
          <w:rFonts w:ascii="Arial" w:cs="Arial" w:eastAsia="Arial" w:hAnsi="Arial"/>
          <w:sz w:val="20"/>
          <w:szCs w:val="20"/>
        </w:rPr>
        <w:t xml:space="preserve"> and nivolumab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[3]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440"/>
        <w:gridCol w:w="1440"/>
        <w:gridCol w:w="3840"/>
      </w:tblGrid>
      <w:tr>
        <w:tc>
          <w:tcPr>
            <w:tcW w:type="dxa" w:w="26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Covariate (range tested)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 on AUC₀₋₂₁d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Clinically significant?</w:t>
            </w:r>
          </w:p>
        </w:tc>
        <w:tc>
          <w:tcPr>
            <w:tcW w:type="dxa" w:w="38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weight: 40 kg vs 120 kg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−22% to +18%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No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±25% threshold; flat 400 mg dose acceptable for 40–120 kg range; consistent with pembrolizumab flat-dose validation [1,8]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Albumin: 2.5 g/dL vs 5.0 g/dL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−18% to +14%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No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FcRn saturation effect; not clinically actionable; monitor for hypoalbuminemia as prognostic factor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ECOG PS: 0 vs 1 vs 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vs 1: −12%; 0 vs 2: −24%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6B"/>
                <w:sz w:val="18"/>
                <w:szCs w:val="18"/>
              </w:rPr>
              <w:t xml:space="preserve">Borderline at ECOG 2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ECOG 2 patients have modestly lower AUC (higher CL); clinical eligibility criteria restrict to ECOG 0-1 in pivotal studies; no dose adjustment for ECOG 1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Renal function (eGFR 15–90)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&lt;5% change across range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No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dose adjustment for renal impairment; consistent with MW 144 kDa precluding renal filtration [Yip 2020]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Mild/moderate hepatic impairment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&lt;8% change (estimated)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No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Hepatic metabolism not applicable for mAbs; mild ALT/AST elevation (irAE) does not alter CL meaningfully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References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1.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Garg A et al. Pembrolizumab exposure-response analyses in patients with advanced/metastatic melanoma, NSCLC, and HNSCC. Clin Cancer Res. 2017;23(18):5399–5406.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2.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Zhao Y et al. Population pharmacokinetics of nivolumab in patients with solid tumors. J Clin Pharmacol. 2017;57(11):1359–1372.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3.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Xu XS et al. Exposure-response analyses for nivolumab. Clin Cancer Res. 2017;23(16):4793–4802.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4.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Centanni M et al. Clinical pharmacokinetics and pharmacodynamics of atezolizumab. Clin Pharmacokinet. 2019;58(5):543–556.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5.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Chen W et al. Translate PK of PD-1/PD-L1 mAbs from cynomolgus monkey to human. J Pharm Sci. 2024;113(9):2915–2921.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6.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Betts A et al. Linear pharmacokinetic parameters for monoclonal antibodies. MAbs. 2018;10(5):751–764.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7.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Desnoyer A et al. PK/PD relationship of therapeutic mAbs: immune checkpoint inhibitors. Eur J Cancer. 2020;128:119–128.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8.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Li L et al. Flat dose regimen of toripalimab based on model-informed drug development. Front Pharmacol. 2023;13:1069818.</w:t>
      </w:r>
    </w:p>
    <w:p>
      <w:pPr>
        <w:spacing w:before="80" w:after="80"/>
      </w:pPr>
    </w:p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Prepared by: Clinical Pharmacology Group, Meridian Oncology Sciences | Document: MOS-PKT-2022-004 v3.0 | NCA: Phoenix WinNonlin v8.3; PopPK: NONMEM v7.5.1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MOS-PKT-2022-004 v3.0  |  Pg </w:t>
    </w:r>
    <w:pgNum/>
    <w:r>
      <w:rPr>
        <w:rFonts w:ascii="Arial" w:cs="Arial" w:eastAsia="Arial" w:hAnsi="Arial"/>
        <w:color w:val="888888"/>
        <w:sz w:val="16"/>
        <w:szCs w:val="16"/>
      </w:rPr>
      <w:t xml:space="preserve">  |  Cervimab PK/PD Program  |  21 CFR 312.23(a)(8)  |  © 2022 Meridian Oncology Sciences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</w:pPr>
    <w:r>
      <w:rPr>
        <w:rFonts w:ascii="Arial" w:cs="Arial" w:eastAsia="Arial" w:hAnsi="Arial"/>
        <w:b/>
        <w:bCs/>
        <w:color w:val="1A3A5C"/>
        <w:sz w:val="16"/>
        <w:szCs w:val="16"/>
      </w:rPr>
      <w:t xml:space="preserve">MERIDIAN ONCOLOGY SCIENCES  |  </w:t>
    </w:r>
    <w:r>
      <w:rPr>
        <w:rFonts w:ascii="Arial" w:cs="Arial" w:eastAsia="Arial" w:hAnsi="Arial"/>
        <w:color w:val="555555"/>
        <w:sz w:val="16"/>
        <w:szCs w:val="16"/>
      </w:rPr>
      <w:t xml:space="preserve">PK Parameter Table Report</w:t>
    </w:r>
    <w:r>
      <w:rPr>
        <w:rFonts w:ascii="Arial" w:cs="Arial" w:eastAsia="Arial" w:hAnsi="Arial"/>
        <w:color w:val="888888"/>
        <w:sz w:val="16"/>
        <w:szCs w:val="16"/>
      </w:rPr>
      <w:t xml:space="preserve">  |  PHARMACOLOGY / PK-PD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2026-03-16T12:06:34.091Z</dcterms:created>
  <dcterms:modified xsi:type="dcterms:W3CDTF">2026-03-16T12:06:34.091Z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