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Pharmacology, DMPK &amp; Translational Sciences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Biomarker Data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Translational Biomarkers | PD Markers, Predictive &amp; Pharmacodynamic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MOS-BMK-2022-005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2022-12-01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 (mCRC)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Non-GLP | Translational Research | ICH E16; FDA Biomarker Qualification Guidance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S6(R1); ICH S9; ICH E9(R1); FDA Oncology Dose Optimization Guidance 2022</w:t>
            </w:r>
          </w:p>
        </w:tc>
      </w:tr>
    </w:tbl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CONFIDENTIAL — Contains proprietary preclinical pharmacology and PK/PD data supporting IND 135-892 for Cervimab. Prepared in accordance with 21 CFR 312.23(a)(8) and ICH M4S CTD Module 2.6 format. Literature references are cited numerically in superscript throughout each section.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Biomarker Strategy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documents the preclinical biomarker data package for Cervimab, organized by biomarker type: (1) patient selection/predictive biomarkers (dMMR/MSI-H, TMB, PD-L1), (2) pharmacodynamic biomarkers (receptor occupancy, serum IFN-γ, CD8+ T-cell phenotype), (3) response biomarkers (ctDNA, TCF7+ progenitor TIL), and (4) safety biomarkers (inflammatory cytokines). The biomarker strategy is informed by the clinical evidence base for PD-1 inhibitors in dMMR/MSI-H colorectal cancer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[4]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[5]</w:t>
      </w:r>
      <w:r>
        <w:rPr>
          <w:rFonts w:ascii="Arial" w:cs="Arial" w:eastAsia="Arial" w:hAnsi="Arial"/>
          <w:sz w:val="20"/>
          <w:szCs w:val="20"/>
        </w:rPr>
        <w:t xml:space="preserve">, and by mechanistic studies defining the TIL phenotype that predicts response to PD-1 blockade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[6]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Predictive / Patient Selection Biomarkers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dMMR and MSI-H as Primary Selection Biomarkers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Mismatch repair deficiency (dMMR) and microsatellite instability-high (MSI-H) status are the primary enrollment criteria for the Cervimab Phase 2/3 program. The clinical rationale is established by the landmark pembrolizumab KEYNOTE-177 trial demonstrating 43.8% ORR vs 33.1% for chemotherapy in 1L dMMR/MSI-H mCRC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[5]</w:t>
      </w:r>
      <w:r>
        <w:rPr>
          <w:rFonts w:ascii="Arial" w:cs="Arial" w:eastAsia="Arial" w:hAnsi="Arial"/>
          <w:sz w:val="20"/>
          <w:szCs w:val="20"/>
        </w:rPr>
        <w:t xml:space="preserve">, and nivolumab CheckMate 142 demonstrating 31.1% ORR in ≥2L disease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[4]</w:t>
      </w:r>
      <w:r>
        <w:rPr>
          <w:rFonts w:ascii="Arial" w:cs="Arial" w:eastAsia="Arial" w:hAnsi="Arial"/>
          <w:sz w:val="20"/>
          <w:szCs w:val="20"/>
        </w:rPr>
        <w:t xml:space="preserve">. PD-1 blockade efficacy in this population is mechanistically driven by the high neoantigen burden (median TMB 47 mut/Mb in our patient specimens vs ~5 mut/Mb in pMMR), which drives robust CD8+ TIL infiltration and PD-1 upregulation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4320"/>
      </w:tblGrid>
      <w:tr>
        <w:tc>
          <w:tcPr>
            <w:tcW w:type="dxa" w:w="2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Biomarker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(primary)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(confirmatory)</w:t>
            </w:r>
          </w:p>
        </w:tc>
        <w:tc>
          <w:tcPr>
            <w:tcW w:type="dxa" w:w="4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status and clinical validation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 (IHC: MLH1, MSH2, MSH6, PMS2)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IHC 4-plex (local)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FoundationOne CDx (central NGS)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FDA-approved CDx for pembrolizumab in MSI-H/dMMR solid tumors (PMA P150013); validated in KEYNOTE-016, -158, -177. Cervimab CDx strategy: local IHC/PCR for enrollment screening; central FoundationOne CDx confirmation required for all Phase 3 patients [5]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MSI-H (PCR: 5-marker NCI panel)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PCR (Pentaplex: BAT25, BAT26, D2S123, D5S346, D17S250)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FoundationOne CDx (NGS-based MSI algorithm)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FDA-approved algorithm validated in KEYNOTE-158. MANTIS score (NGS-based alternative) ≥0.4 = MSI-H per Kautto et al. 2017 [8]; sensitivity 96.2%, specificity 98.8% vs PCR reference in our cohort (n=48 specimens)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TMB (tumor mutational burden)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FoundationOne CDx (≥10 mut/Mb = TMB-H)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 (research; all Phase 2 specimens)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FDA-approved companion diagnostic for pembrolizumab in TMB-H solid tumors (≥10 mut/Mb, PMA P200010). In Cervimab Phase 1/2: 96% of dMMR patients met TMB-H threshold. TMB is an exploratory biomarker (not enrollment criterion) in Phase 2/3 but a key stratification factor for subgroup analyses [3,5]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 (CPS: Combined Positive Score)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IHC (22C3 antibody; Dako/Agilent pharmDx)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FoundationOne CDx does not report PD-L1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CPS ≥10 in 71% of dMMR specimens in our cohort (vs 18% pMMR; OR 11.2, p&lt;0.0001). PD-L1 alone is not the enrollment criterion for Cervimab (dMMR is stronger predictive biomarker [5]); PD-L1 assessed as exploratory response biomarker in Phase 2 [1,10]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TMB Distribution in Clinical Trial Cohort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Whole-exome sequencing (WES) of 48 CRC specimens (dMMR n=24, pMMR n=24; MOS-IRB-2020-012) confirmed the strong enrichment of high TMB in the dMMR subpopulation. These data support dMMR/MSI-H (rather than TMB alone) as the primary enrollment criterion, as the overlap between dMMR and TMB-H is ~96% in this population, making redundant TMB testing at enrollment unnecessary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3360"/>
      </w:tblGrid>
      <w:tr>
        <w:tc>
          <w:tcPr>
            <w:tcW w:type="dxa" w:w="2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TMB category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(n=24)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(n=24)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Oncological significance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TMB (mut/Mb)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47 (IQR 28–84)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(IQR 3–8)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9.4× higher TMB in dMMR; drives TIL infiltration and PD-1 expression [3]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TMB ≥10 mut/Mb (TMB-H)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23/24 (96%)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4/24 (17%)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Near-universal TMB-H in dMMR; supports use of dMMR as simpler surrogate for patient selection [5]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TMB ≥50 mut/Mb (ultra-high)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14/24 (58%)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0/24 (0%)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Ultra-high TMB enriched in POLE/POLD1-mutant dMMR tumors (n=4/24, 17%)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Predicted ORR (TMB &gt;10 vs &lt;10)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≥35% predicted (Phase 2 target)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&lt;10% predicted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Based on Cervimab Phase 2a ORR 41.9% in dMMR population; TMB-stratified analysis planned in Phase 3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Pharmacodynamic Biomarkers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PD-1 Receptor Occupancy as Primary PD Biomarker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Receptor occupancy (RO) on circulating CD8+ T cells is the primary pharmacodynamic biomarker linking Cervimab concentration to on-target mechanism of action. The competitive saturation flow cytometry assay using a non-competing site-labeled detection antibody (clone EH12.2H7; epitope distinct from Cervimab paratope) measures the fraction of CD8+ PD-1 receptors occupied by Cervimab at each sampling timepoint. This approach was validated for anti-PD-1 antibodies in clinical studies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[4]</w:t>
      </w:r>
      <w:r>
        <w:rPr>
          <w:rFonts w:ascii="Arial" w:cs="Arial" w:eastAsia="Arial" w:hAnsi="Arial"/>
          <w:sz w:val="20"/>
          <w:szCs w:val="20"/>
        </w:rPr>
        <w:t xml:space="preserve"> and provides the mechanistic PD readout for MABEL-based dose justification. At the proposed 400 mg Q3W dose, PD-1 RO exceeds 99% at Cmax and maintains &gt;90% at Cmin (see MOS-PKPD-2022-002).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Serum IFN-γ as Pharmacodynamic Response Biomarker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Serum IFN-γ is the most established pharmacodynamic biomarker of PD-1 blockade, reflecting restoration of effector T-cell cytokine secretion. The Emax model relating Cervimab AUC to IFN-γ response (EC₅₀ = 6,840 µg·h/mL; Emax = 4.18×) places the proposed 400 mg Q3W dose (AUC₀₋₂₁d ~14,820 µg·h/mL) at ~90% of the Emax, consistent with the pharmacodynamic saturation observed with pembrolizumab and nivolumab at therapeutic doses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[7]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440"/>
        <w:gridCol w:w="1560"/>
        <w:gridCol w:w="1440"/>
        <w:gridCol w:w="15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Timepoint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(IgG4 ctrl)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1 mg/kg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3 mg/kg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10 mg/kg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(Day 0)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± 28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 ± 26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 ± 30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 ± 28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pg/mL serum IFN-γ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7 (Cycle 1, Day 7)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 ± 30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42*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362 ± 68**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484 ± 92**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pg/mL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21 (C1 trough)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 ± 28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 ± 40*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344 ± 62**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462 ± 84**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pg/mL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42 (C2 trough)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± 26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44*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368 ± 72**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498 ± 96**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pg/mL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85 (C6 — steady state)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 ± 28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244 ± 42*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374 ± 78**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± 108**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pg/mL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In vivo IFN-γ pharmacodynamics from hPD-1 KI mice (MC38-hPD-L1 model, n=5/group). Serum collected pre-dose and at designated timepoints (Meso Scale Discovery V-PLEX IFN-γ assay, LLOQ 0.6 pg/mL). *p&lt;0.05, **p&lt;0.01 vs vehicle (mixed model ANOVA, Dunnett's post-test). Dose-dependent IFN-γ increase maintained through Day 85, demonstrating durable pharmacodynamic effect without tachyphylaxis.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 TIL Phenotyping: TCF7+ Progenitor-Exhausted CD8+ T Cells as Response Biomarker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density of TCF7+PD-1+CD8+ 'progenitor exhausted' TILs (also termed stem-like exhausted TILs or Tex_progenitor) has been identified as a key predictor of response to PD-1 checkpoint blockade. These cells retain proliferative capacity and expand into terminally differentiated effectors upon PD-1 blockade, mediating durable antitumor responses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[6]</w:t>
      </w:r>
      <w:r>
        <w:rPr>
          <w:rFonts w:ascii="Arial" w:cs="Arial" w:eastAsia="Arial" w:hAnsi="Arial"/>
          <w:sz w:val="20"/>
          <w:szCs w:val="20"/>
        </w:rPr>
        <w:t xml:space="preserve">. In the dMMR human CRC specimens (n=24), TCF7+PD-1+CD8+ TIL density was 84 ± 38 cells/mm², vastly exceeding pMMR tumors (6 ± 4 cells/mm²; p&lt;0.0001), providing mechanistic rationale for the dMMR biomarker-selected population.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384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 Subpopulation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specimens (n=24; cells/mm²)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specimens (n=24)</w:t>
            </w:r>
          </w:p>
        </w:tc>
        <w:tc>
          <w:tcPr>
            <w:tcW w:type="dxa" w:w="3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prediction significance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CD8+ TIL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486 ± 182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 ± 44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CD8+ density predicts PD-1 blockade response (Tumeh et al. Nature 2014) [1]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PD-1+ CD8+ TIL (direct target for Cervimab)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398 ± 148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± 16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 expression on TILs confirms the target is expressed at the site of action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TCF7+PD-1+CD8+ (progenitor exhausted) [2,6]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84 ± 38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± 4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CRITICAL: Progenitor exhausted TILs expand upon PD-1 blockade to mediate durable responses. Density predicts clinical benefit duration [6]. Absent/very low in pMMR (mechanistic basis for lack of PD-1 blockade efficacy in pMMR CRC)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TIM-3+LAG-3+PD-1+CD8+ (terminally exhausted)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96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± 4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exhaustion co-expressed with progenitor TILs; ratio TCF7+:TIM3+LAG3+ predicts response depth [6]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CD4+FOXP3+ Treg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± 14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± 6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Treg density may limit response; exploratory endpoint in Phase 2 (Teff:Treg ratio as predictive biomarker)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ctDNA as Pharmacodynamic and Response Biomarker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Circulating tumor DNA (ctDNA) clearance is an emerging pharmacodynamic biomarker for PD-1 checkpoint blockade in dMMR CRC. Wang et al. demonstrated that ctDNA clearance at Week 8 (ctDNA negativity) predicted PFS benefit in anti-PD-1-treated dMMR mCRC patients with 78.6% sensitivity and 85.7% specificity for PFS &gt;12 months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[7]</w:t>
      </w:r>
      <w:r>
        <w:rPr>
          <w:rFonts w:ascii="Arial" w:cs="Arial" w:eastAsia="Arial" w:hAnsi="Arial"/>
          <w:sz w:val="20"/>
          <w:szCs w:val="20"/>
        </w:rPr>
        <w:t xml:space="preserve">. This supports ctDNA (Guardant360 assay) as an exploratory PD/efficacy biomarker in the Cervimab Phase 2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36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ctDNA Assessment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Timepoint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Assay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ctDNA VAF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 pre-dose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Guardant360 (73-gene panel + MSI)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ctDNA (VAF) correlates with tumor burden and may predict initial response depth in dMMR CRC [7]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ctDNA clearance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 (Day 29)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Guardant360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ctDNA drop &gt;50% predicted durable response in Wang et al. 2021 [7]; Cycle 2 predose = key early landmark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ctDNA MRD (landmark)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8 (Day 57)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Guardant360 + tumor-informed FoundationOne Liquid CDx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ctDNA negativity at Week 8 = primary ctDNA endpoint in Phase 2; sensitivity 78.6%, specificity 85.7% for PFS &gt;12mo [7]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Molecular response definition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Landmark + longitudinal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Guardant360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ctDNA negativity = VAF &lt;0.1% at ctDNA MRD timepoint; 2× consecutive negative calls recommended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References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Tumeh PC et al. PD-1 blockade induces responses by inhibiting adaptive immune resistance. Nature. 2014;515(7528):568–571. doi:10.1038/nature13954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2.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Siddiqui I et al. Intratumoral Tcf1+PD-1+CD8+ T cells with stem-like properties promote tumor control in response to vaccination and checkpoint blockade immunotherapy. Immunity. 2019;50(1):195–211.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3.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Le DT et al. PD-1 blockade in tumors with mismatch-repair deficiency. N Engl J Med. 2015;372(26):2509–2520. doi:10.1056/NEJMoa1500596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4.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Overman MJ et al. Nivolumab in patients with metastatic DNA mismatch repair-deficient or microsatellite instability-high colorectal cancer (CheckMate 142). Lancet Oncol. 2017;18(9):1182–1191.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5.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Andre T et al. Pembrolizumab in microsatellite-instability-high advanced colorectal cancer (KEYNOTE-177). N Engl J Med. 2020;383(23):2207–2218.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6.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Miller BC et al. Subsets of exhausted CD8+ T cells differentially mediate tumor control and respond to checkpoint blockade. Nat Immunol. 2019;20(3):326–336.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7.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Wang F et al. Circulating tumor DNA clearance as a predictor of outcome in mismatch-repair-deficient colorectal cancer treated with anti-PD-1 therapy. Clin Cancer Res. 2021;27(14):3890–3898.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8.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Kautto EA et al. Performance evaluation for rapid detection of pan-cancer microsatellite instability with MANTIS. Oncotarget. 2017;8(5):7452–7463.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9.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Comprehensive immunophenotyping reveals distinct tumor microenvironment alterations in anti-PD-1 sensitive and resistant syngeneic mouse model. Sci Rep. 2025;15:8234. doi:10.1038/s41598-025-91979-w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10.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Pallan L et al. The role of the PD-1/PD-L1 signaling axis in colorectal cancer. Crit Rev Oncol Hematol. 2021;157:103183.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Prepared by: Translational Sciences &amp; Biomarker Group, Meridian Oncology Sciences | Document: MOS-BMK-2022-005 v2.4 | IRB: MOS-IRB-2020-012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MOS-BMK-2022-005 v2.4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PK/PD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Biomarker Data Report</w:t>
    </w:r>
    <w:r>
      <w:rPr>
        <w:rFonts w:ascii="Arial" w:cs="Arial" w:eastAsia="Arial" w:hAnsi="Arial"/>
        <w:color w:val="888888"/>
        <w:sz w:val="16"/>
        <w:szCs w:val="16"/>
      </w:rPr>
      <w:t xml:space="preserve">  |  PHARMACOLOGY / PK-PD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2026-03-16T12:06:34.195Z</dcterms:created>
  <dcterms:modified xsi:type="dcterms:W3CDTF">2026-03-16T12:06:34.195Z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