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MERIDIAN ONCOLOGY SCIENCES, INC.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Pharmacology, DMPK &amp; Translational Sciences Division</w:t>
      </w:r>
    </w:p>
    <w:p>
      <w:pPr>
        <w:spacing w:before="80" w:after="80"/>
      </w:pPr>
    </w:p>
    <w:p>
      <w:pPr>
        <w:pBdr>
          <w:top w:val="single" w:color="1A3A5C" w:sz="10"/>
          <w:bottom w:val="single" w:color="1A3A5C" w:sz="10"/>
        </w:pBdr>
        <w:spacing w:before="360" w:after="20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Receptor Occupancy Data Report</w:t>
      </w:r>
    </w:p>
    <w:p>
      <w:pPr>
        <w:spacing w:before="120" w:after="3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Cervimab | PD-1 Receptor Occupancy | In Vitro, Cynomolgus Monkey &amp; Human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MOS-RO-2022-007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v2.6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2022-11-30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Drug: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 | Fully Human IgG4 S228P Anti-PD-1 mAb | IND 135-892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dMMR/MSI-H Metastatic Colorectal Cancer (mCRC)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GLP Status: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Non-GLP and Phase 1 Clinical Data | 21 CFR 312.23(a)(8); FDA MABEL Guidance 2016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Regulatory Basis: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CFR 312.23(a)(8); ICH S6(R1); ICH S9; ICH E9(R1); FDA Oncology Dose Optimization Guidance 2022</w:t>
            </w:r>
          </w:p>
        </w:tc>
      </w:tr>
    </w:tbl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CONFIDENTIAL — Contains proprietary preclinical pharmacology and PK/PD data supporting IND 135-892 for Cervimab. Prepared in accordance with 21 CFR 312.23(a)(8) and ICH M4S CTD Module 2.6 format. Literature references are cited numerically in superscript throughout each section.</w:t>
      </w:r>
    </w:p>
    <w:p>
      <w:r>
        <w:br w:type="page"/>
      </w: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Introduction: Receptor Occupancy as PK/PD Link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Receptor occupancy (RO) is the mechanistic link between Cervimab plasma concentration and pharmacodynamic effect. For PD-1 inhibitors, the relevant RO is the fraction of PD-1 receptors on circulating CD8+ T cells occupied by the antibody, which determines the extent of PD-1/PD-L1 blockade and restoration of T-cell effector function. RO measurement was central to the FIH dose selection using the MABEL (Minimum Anticipated Biological Effect Level) approach. The precedent for RO-based dose justification for anti-PD-1 antibodies was established by Brahmer et al. in the first-in-human MDX-1106 (nivolumab precursor) study, which used RO to justify initial dose levels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[6]</w:t>
      </w:r>
      <w:r>
        <w:rPr>
          <w:rFonts w:ascii="Arial" w:cs="Arial" w:eastAsia="Arial" w:hAnsi="Arial"/>
          <w:sz w:val="20"/>
          <w:szCs w:val="20"/>
        </w:rPr>
        <w:t xml:space="preserve">. Published data for comparator anti-PD-1 antibodies in cynomolgus monkeys demonstrate RO &gt;90% at ≥1 mg/kg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[1]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[2]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[3]</w:t>
      </w:r>
      <w:r>
        <w:rPr>
          <w:rFonts w:ascii="Arial" w:cs="Arial" w:eastAsia="Arial" w:hAnsi="Arial"/>
          <w:sz w:val="20"/>
          <w:szCs w:val="20"/>
        </w:rPr>
        <w:t xml:space="preserve">, which frames the Cervimab RO profile in translational context.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In Vitro Receptor Occupancy: Dose-Response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Competitive Saturation Assay — Primary Human CD8+ T Cells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Receptor occupancy was measured by competitive saturation flow cytometry using primary human PBMCs (CD8+ T cells activated 72h with anti-CD3/CD28 beads + IL-2 100 U/mL to maximize PD-1 expression). Detection antibody: EH12.2H7-PE (anti-PD-1; epitope distinct from Cervimab paratope, confirmed by non-competing SPR). This assay approach provides a direct quantitative estimate of the fraction of cell-surface PD-1 receptors occupied by Cervimab at equilibrium, following the formula: RO% = [(% PD-1+ after in vivo Cervimab) / (% PD-1+ after ex vivo saturation)] × 100. This formula was validated for clinical use with pembrolizumab in humanized PD-1 mouse models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[4]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320"/>
        <w:gridCol w:w="1320"/>
        <w:gridCol w:w="1320"/>
        <w:gridCol w:w="1320"/>
        <w:gridCol w:w="1320"/>
        <w:gridCol w:w="2040"/>
      </w:tblGrid>
      <w:tr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Cervimab (nM)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Cervimab (µg/mL)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RO CD8+ (mean ± SD)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RO CD4+ (mean ± SD)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IFN-γ (pg/mL)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IL-2 (pg/mL)</w:t>
            </w:r>
          </w:p>
        </w:tc>
        <w:tc>
          <w:tcPr>
            <w:tcW w:type="dxa" w:w="20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 ± 28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 ± 14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Baseline; no Cervimab</w:t>
            </w:r>
          </w:p>
        </w:tc>
      </w:tr>
      <w:t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0.014 (0.1 µg/mL)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± 1.8%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± 1.4%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196 ± 30 (NS)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 ± 15 (NS)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Sub-threshold; no functional signal</w:t>
            </w:r>
          </w:p>
        </w:tc>
      </w:tr>
      <w:t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0.14 (1 µg/mL)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± 3.2%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± 2.8%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228 ± 34*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 ± 17*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MABEL threshold (~20% RO onset of PD effect)</w:t>
            </w:r>
          </w:p>
        </w:tc>
      </w:tr>
      <w:t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 (10 µg/mL)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 ± 5.4%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± 4.8%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312 ± 52**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 ± 22**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EC₃₅ range; approaching EC₅₀</w:t>
            </w:r>
          </w:p>
        </w:tc>
      </w:tr>
      <w:t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5.8 (84 µg/mL)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0.86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 ± 6.2%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 ± 5.6%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398 ± 64**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 ± 28**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Near-EC₅₀ range (KD_RO ~0.186 µg/mL)</w:t>
            </w:r>
          </w:p>
        </w:tc>
      </w:tr>
      <w:t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(210 µg/mL)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 ± 5.8%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 ± 5.2%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498 ± 82**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152 ± 34**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EC₇₂; rapidly approaching Emax</w:t>
            </w:r>
          </w:p>
        </w:tc>
      </w:tr>
      <w:t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 (1,000 µg/mL)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 ± 4.8%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 ± 5.2%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618 ± 92**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 ± 42**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Near-saturation; approaching Emax plateau</w:t>
            </w:r>
          </w:p>
        </w:tc>
      </w:tr>
      <w:t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690 (10,000 µg/mL)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 ± 3.2%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 ± 4.1%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642 ± 96**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 ± 44**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saturation; functional plateau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n=6 donors (triplicate wells). * p&lt;0.05, ** p&lt;0.01 vs vehicle. EC₅₀ for RO ~5.8 nM (0.86 µg/mL) in this assay. Note: EC₅₀_RO (0.86 µg/mL = 5.8 nM) is ~14× higher than in vitro SPR KD (0.42 nM) — the difference reflects membrane receptor environment, avidity effects, and rebinding at the T-cell surface. This is a well-recognized phenomenon for cell-surface target occupancy assays [7]. EC₅₀_RO in our hands (0.86 µg/mL) is comparable to published values for finotonlimab (RO &gt;90% at 1 mg/kg dosing in vivo) [1] and JS-001 (RO-guided dose selection) [3].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In Vivo Receptor Occupancy — Cynomolgus Monkey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 Single-Dose PK/RO Study (Non-GLP, MOS-PK-2021-004)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Blood samples for RO assessment were collected from 18 cynomolgus monkeys (n=3M+3F per dose group: 1, 5, 20 mg/kg IV over 60 min) at predose, 0.0 (end of infusion), 24h, 168h, 336h, 504h, 672h, and 1008h post-dose. CD8+ T cell PD-1 RO was measured by competitive saturation flow cytometry (EH12.2H7-PE detection antibody; staining at 4°C within 2h of sample collection). This sampling schedule and methodology is consistent with published RO studies for anti-PD-1 antibodies: finotonlimab collected at 0, 24h, 168h, 336h, 672h, 1008h post-dose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[1]</w:t>
      </w:r>
      <w:r>
        <w:rPr>
          <w:rFonts w:ascii="Arial" w:cs="Arial" w:eastAsia="Arial" w:hAnsi="Arial"/>
          <w:sz w:val="20"/>
          <w:szCs w:val="20"/>
        </w:rPr>
        <w:t xml:space="preserve">; P1801 collected at 0, 24h, 168h, 336h, 672h, 1008h, 1344h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[2]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20"/>
        <w:gridCol w:w="1320"/>
        <w:gridCol w:w="1320"/>
        <w:gridCol w:w="1320"/>
        <w:gridCol w:w="1320"/>
        <w:gridCol w:w="15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(h)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mg/kg M+F % RO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mg/kg M+F % RO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 mg/kg M+F % RO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 (µg/mL) 1 mg/kg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 (µg/mL) 5 mg/kg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(predose)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± 0%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± 0%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± 0%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BLQ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BLQ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baseline PD-1 occupancy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(end infusion)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93 ± 4%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98 ± 2%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&gt;99 ± 1%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19.8 ± 2.4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98.6 ± 12.8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Near-complete RO at all doses at Cmax [1,2]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91 ± 5%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97 ± 2%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&gt;99 ± 1%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16.4 ± 2.0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82.0 ± 10.4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Sustained high RO 24h post-dose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168 (Day 8)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86 ± 6%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96 ± 3%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&gt;99 ± 1%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10.4 ± 1.4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52.4 ± 7.4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doses &gt;85% RO at Day 8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336 (Day 15)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8"/>
                <w:szCs w:val="18"/>
              </w:rPr>
              <w:t xml:space="preserve">78 ± 7%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92 ± 4%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97 ± 2%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7.2 ± 1.0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36.2 ± 5.4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mg/kg: RO declining; 5+ mg/kg: sustained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504 (Day 22)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 ± 8%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86 ± 5%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94 ± 3%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 ± 0.8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24.4 ± 4.2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22: 1 mg/kg RO below 70%; 5+mg/kg maintained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672 (Day 29)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± 9%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8"/>
                <w:szCs w:val="18"/>
              </w:rPr>
              <w:t xml:space="preserve">78 ± 6%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88 ± 4%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 ± 0.6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16.4 ± 3.2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29: RO gap at 1 mg/kg; Q3W dosing requires ≥3 mg/kg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1008 (Day 43)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± 10%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 ± 8%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8"/>
                <w:szCs w:val="18"/>
              </w:rPr>
              <w:t xml:space="preserve">72 ± 6%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 ± 0.4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6.8 ± 1.8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43 (6 weeks): 20 mg/kg still 72% RO; supports Q3W dosing at human doses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Green = ≥85% RO (target occupancy range for sustained checkpoint blockade). Teal = 70–85% RO (partial occupancy, likely insufficient for full PD). Single-dose RO data support minimum effective dose of ≥5 mg/kg Q3W in cynomolgus monkey (maintaining &gt;85% RO at trough); allometrically scaled to human: ≥0.9 mg/kg Q3W (consistent with FIH starting dose of 1 mg/kg). Consistent with published finding that 1 mg/kg of finotonlimab achieves RO &gt;93% in cynomolgus monkeys [1] and JS-001 dose-dependent RO in NHPs [3].</w:t>
      </w:r>
    </w:p>
    <w:p>
      <w:pPr>
        <w:spacing w:before="8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 Repeat-Dose RO (13-Week GLP Study)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PD-1 RO was assessed in the GLP 13-week repeat-dose study (MOS-GLP-TOX-2022-002) on Days 1 (predose C1), 2 (24h C1), 15 (predose C2), 86 (predose C7), and 141 (recovery Day 56). This longitudinal RO profile confirms sustained near-complete PD-1 occupancy throughout the 13-week dosing period at all doses tested (3–30 mg/kg Q2W), with expected partial recovery during the 8-week off-treatment recovery period.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560"/>
        <w:gridCol w:w="1560"/>
      </w:tblGrid>
      <w:tr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(mg/kg)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1 predose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2 (C1, 24h)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15 (C2 predose)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86 (C7 predose)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141 (Recovery)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background occupancy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&gt;97% (Cmax)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88 ± 5%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84 ± 6% (Cmin)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82 ± 7% (Cmin, ss est.)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 ± 8%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Sustained &gt;80% throughout dosing; recovers during washout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&gt;99% (Cmax)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96 ± 3%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92 ± 4% (Cmin)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90 ± 4%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± 6%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Near-complete RO throughout; excellent sustained occupancy at NOAEL dose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&gt;99% (Cmax)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&gt;99%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96 ± 3% (Cmin)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92 ± 5%* (ADA↑)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± 5%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*ADA-mediated CL increase at C7; RO slightly reduced but still &gt;90%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Day 141 recovery RO reflects 56 days off-treatment (8-week washout). Partial RO recovery at washout (18–42%) is consistent with residual cervimab detectable by ELISA (Cmin ~4–22 µg/mL at Day 141) — consistent with 21-day t½ (5.5 half-lives elapsed = 2.2% remaining, but some animals ADA+ reducing CL and extending t½). Full RO recovery expected at ~Day 200+ (&gt;8 half-lives).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Human Receptor Occupancy — Phase 1 MOS-CRC-101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PD-1 RO was measured in Phase 1 patients at predose (Cycle 1), 2h post-infusion (Cycle 1 Cmax), 24h, 168h (Day 8), 336h (Day 15), and at each subsequent cycle predose (trough). Flow cytometry: EH12.2H7-PE competitive saturation assay (same validated method as preclinical studies); performed on fresh whole blood within 4h of collection (shipping logistics from sites to central lab within 4h for RO samples). PD-1 RO in humans demonstrates the translational concordance of the cynomolgus monkey model: near-complete RO at all doses ≥1 mg/kg is consistent with published data for nivolumab and pembrolizumab achieving &gt;95% RO at approved doses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[5]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[6]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1200"/>
        <w:gridCol w:w="3000"/>
      </w:tblGrid>
      <w:tr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Timepoint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mg/kg (n=6)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mg/kg (n=6)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mg/kg (n=6)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400 mg flat (n=18)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significance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 Day 1 predose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patients naive; baseline confirmed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 Day 1 Cmax (2h post)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94 ± 4%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98 ± 2%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&gt;99 ± 1%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&gt;99 ± 1%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Near-complete RO at Cmax for all dose levels ≥1 mg/kg; consistent with cynomolgus data and class precedent [5,6]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 Day 8 (168h post)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90 ± 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97 ± 2%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&gt;99 ± 1%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&gt;99 ± 1%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Sustained RO at Day 8; confirms long t½ FcRn recycling drives sustained target engagement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 Day 15 (336h post)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82 ± 6%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94 ± 3%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97 ± 2%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97 ± 2%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doses &gt;80% RO at Day 15; 400 mg sustained near-complete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 predose Day 22 (trough)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8"/>
                <w:szCs w:val="18"/>
              </w:rPr>
              <w:t xml:space="preserve">74 ± 7%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88 ± 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94 ± 3%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94 ± 3%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CRITICAL: C1 trough — 400 mg maintains &gt;90% RO at trough; 1 mg/kg drops to 74% (below 85% target) — supports 400 mg over 1 mg/kg as RP2D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 predose Day 85 (est. ss)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8"/>
                <w:szCs w:val="18"/>
              </w:rPr>
              <w:t xml:space="preserve">78 ± 8%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90 ± 4%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95 ± 3%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95 ± 3%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Steady-state trough RO. All doses ≥3 mg/kg maintain ≥90% at steady-state trough; 400 mg (≈5.7 mg/kg) exceeds this threshold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Human RO data from Phase 1 MOS-CRC-101 (N=36 patients with complete RO dataset). Competitive saturation flow cytometry (EH12.2H7-PE; fresh whole blood processed centrally within 4h of collection). RO target: ≥85% at trough (based on E-R analysis linking RO to IFN-γ Emax — see MOS-PKPD-2022-002). Results confirm 400 mg flat Q3W maintains RO ≥90% at trough in all evaluable patients — consistent with the MABEL-based dose selection and supporting 400 mg as the RP2D.</w:t>
      </w:r>
    </w:p>
    <w:p>
      <w:pPr>
        <w:spacing w:before="8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4.1 PK-RO Relationship (Phase 1 Pooled, 1–400 mg)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relationship between Cervimab plasma concentration (Cmax and Cmin) and CD8+ PD-1 RO follows a sigmoidal Emax model (Km_RO = 0.186 µg/mL; hill coefficient γ = 1.28), estimated from the combined in vitro (n=6 donor EC₅₀) and in vivo Phase 1 data (n=36 with RO measurements). This Hill model is consistent with the MM-TMDD framework used for modeling anti-CD33 antibody RO by Figueroa et al.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[7]</w:t>
      </w:r>
      <w:r>
        <w:rPr>
          <w:rFonts w:ascii="Arial" w:cs="Arial" w:eastAsia="Arial" w:hAnsi="Arial"/>
          <w:sz w:val="20"/>
          <w:szCs w:val="20"/>
        </w:rPr>
        <w:t xml:space="preserve"> and the PD-1 RO modeling approach described for pembrolizumab by Lindauer et al.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[9]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384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Cervimab Cmin range (µg/mL)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 RO% (observed)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 RO% (Hill model)</w:t>
            </w:r>
          </w:p>
        </w:tc>
        <w:tc>
          <w:tcPr>
            <w:tcW w:type="dxa" w:w="3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interpretation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0.5 (below FIH minimum)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~20–35%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21–37%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Sub-therapeutic RO; no evidence of clinical efficacy at these exposures [6,10]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0.5–2.0 (1 mg/kg Q3W trough range)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62–78%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64–80%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occupancy; likely insufficient for durable T-cell reinvigoration in majority of patients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2.0–10.0 (3 mg/kg Q3W trough range)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82–90%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83–91%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RO approaching target; borderline for some patients with higher CL (ADA, low albumin)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10–30 (400 mg Q3W trough range)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92–96%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93–97%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Near-complete RO at trough; &gt;99% of Phase 1 patients at or above this range at proposed 400 mg Q3W; supports RP2D selection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30 (Cmax range at 400 mg)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&gt;99%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&gt;99%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saturation at Cmax (Hill equation plateau); no additional RO benefit above 30 µg/mL — supports dose optimization rather than dose escalation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References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1.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Finotonlimab (SCTI10A): receptor occupancy exceeding 93% at 1 mg/kg in cynomolgus monkeys. Pharmaceuticals. 2025;18(3):395. doi:10.3390/ph18030395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2.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P1801 anti-PD-1 antibody: blood collection for RO analysis at 0.0, 24h, and 168h post-dose. PMC11393876 (2024).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3.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JS-001 (toripalimab): PD-1 receptor occupancy results dose-dependent decreases in PD-1+/CD4+ and PD-1+/CD8+ expression. Acta Pharmacol Sin. 2017;38(5):710–718.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4.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Dong H et al. A novel humanized PD-1/PD-L1 mouse model permits direct comparison of antitumor immunity generated by FDA-approved PD-1 and PD-L1 inhibitors. Immunohorizons. 2023;7(1):125–139.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5.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Gordeev A et al. Preclinical comparison of prolgolimab, pembrolizumab and nivolumab. Sci Rep. 2024;14:23136.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6.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Brahmer JR et al. Phase I study of single-agent anti-PD-1 (MDX-1106). J Clin Oncol. 2010;28(19):3167–3175.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7.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Figueroa I et al. Modeling of clinical PK of anti-CD33 antibody-drug conjugate using Michaelis-Menten TMDD approximation. MAbs. 2018;10(6):967–978.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8.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Desnoyer A et al. PK/PD relationship of immune checkpoint inhibitor antibodies. Eur J Cancer. 2020;128:119–128.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9.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Lindauer A et al. Translational PK/PD modeling of tumor growth inhibition supports dose-range selection of pembrolizumab. CPT Pharmacometrics Syst Pharmacol. 2017;6(1):11–20.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10.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Le DT et al. PD-1 blockade in mismatch-repair deficiency. N Engl J Med. 2015;372(26):2509–2520.</w:t>
      </w:r>
    </w:p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Prepared by: DMPK / Clinical Pharmacology Group, Meridian Oncology Sciences | Document: MOS-RO-2022-007 v2.6 | Flow cytometry: BD LSRFortessa X-20; gating strategy: CD45+CD3+CD8+PD-1+ parent population | Data analysis: FlowJo v10.8; statistics: GraphPad Prism v9.5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MOS-RO-2022-007 v2.6  |  Pg </w:t>
    </w:r>
    <w:pgNum/>
    <w:r>
      <w:rPr>
        <w:rFonts w:ascii="Arial" w:cs="Arial" w:eastAsia="Arial" w:hAnsi="Arial"/>
        <w:color w:val="888888"/>
        <w:sz w:val="16"/>
        <w:szCs w:val="16"/>
      </w:rPr>
      <w:t xml:space="preserve">  |  Cervimab PK/PD Program  |  21 CFR 312.23(a)(8)  |  © 2022 Meridian Oncology Sciences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MERIDIAN ONCOLOGY SCIENCES  |  </w:t>
    </w:r>
    <w:r>
      <w:rPr>
        <w:rFonts w:ascii="Arial" w:cs="Arial" w:eastAsia="Arial" w:hAnsi="Arial"/>
        <w:color w:val="555555"/>
        <w:sz w:val="16"/>
        <w:szCs w:val="16"/>
      </w:rPr>
      <w:t xml:space="preserve">Receptor Occupancy Data Report</w:t>
    </w:r>
    <w:r>
      <w:rPr>
        <w:rFonts w:ascii="Arial" w:cs="Arial" w:eastAsia="Arial" w:hAnsi="Arial"/>
        <w:color w:val="888888"/>
        <w:sz w:val="16"/>
        <w:szCs w:val="16"/>
      </w:rPr>
      <w:t xml:space="preserve">  |  PHARMACOLOGY / PK-PD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2026-03-16T12:06:34.299Z</dcterms:created>
  <dcterms:modified xsi:type="dcterms:W3CDTF">2026-03-16T12:06:34.299Z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