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005" w:type="dxa"/>
        <w:tblBorders>
          <w:bottom w:val="single" w:sz="6" w:space="0" w:color="0096D7"/>
        </w:tblBorders>
        <w:shd w:val="clear" w:color="auto" w:fill="FFFFFF"/>
        <w:tblCellMar>
          <w:left w:w="0" w:type="dxa"/>
          <w:right w:w="0" w:type="dxa"/>
        </w:tblCellMar>
        <w:tblLook w:val="04A0" w:firstRow="1" w:lastRow="0" w:firstColumn="1" w:lastColumn="0" w:noHBand="0" w:noVBand="1"/>
      </w:tblPr>
      <w:tblGrid>
        <w:gridCol w:w="1547"/>
        <w:gridCol w:w="2236"/>
        <w:gridCol w:w="2284"/>
        <w:gridCol w:w="3938"/>
      </w:tblGrid>
      <w:tr w:rsidR="00337DE5" w:rsidRPr="00337DE5" w14:paraId="2819BFDC" w14:textId="77777777" w:rsidTr="00337DE5">
        <w:trPr>
          <w:tblHeader/>
        </w:trPr>
        <w:tc>
          <w:tcPr>
            <w:tcW w:w="0" w:type="auto"/>
            <w:gridSpan w:val="4"/>
            <w:tcBorders>
              <w:top w:val="nil"/>
              <w:left w:val="nil"/>
              <w:bottom w:val="nil"/>
              <w:right w:val="nil"/>
            </w:tcBorders>
            <w:shd w:val="clear" w:color="auto" w:fill="auto"/>
            <w:tcMar>
              <w:top w:w="90" w:type="dxa"/>
              <w:left w:w="150" w:type="dxa"/>
              <w:bottom w:w="75" w:type="dxa"/>
              <w:right w:w="150" w:type="dxa"/>
            </w:tcMar>
            <w:vAlign w:val="center"/>
            <w:hideMark/>
          </w:tcPr>
          <w:p w14:paraId="2016DC9A" w14:textId="77777777" w:rsidR="00337DE5" w:rsidRPr="00337DE5" w:rsidRDefault="00337DE5" w:rsidP="00337DE5">
            <w:pPr>
              <w:spacing w:after="0" w:line="240" w:lineRule="auto"/>
              <w:rPr>
                <w:rFonts w:ascii="Arial" w:eastAsia="Times New Roman" w:hAnsi="Arial" w:cs="Arial"/>
                <w:b/>
                <w:bCs/>
                <w:color w:val="333333"/>
                <w:sz w:val="27"/>
                <w:szCs w:val="27"/>
              </w:rPr>
            </w:pPr>
            <w:r w:rsidRPr="00337DE5">
              <w:rPr>
                <w:rFonts w:ascii="Arial" w:eastAsia="Times New Roman" w:hAnsi="Arial" w:cs="Arial"/>
                <w:b/>
                <w:bCs/>
                <w:color w:val="333333"/>
                <w:sz w:val="27"/>
                <w:szCs w:val="27"/>
              </w:rPr>
              <w:t>Top five gasoline-consuming states, 2019</w:t>
            </w:r>
          </w:p>
        </w:tc>
      </w:tr>
      <w:tr w:rsidR="00337DE5" w:rsidRPr="00337DE5" w14:paraId="1CE82C5A" w14:textId="77777777" w:rsidTr="00337DE5">
        <w:trPr>
          <w:tblHeader/>
        </w:trPr>
        <w:tc>
          <w:tcPr>
            <w:tcW w:w="0" w:type="auto"/>
            <w:tcBorders>
              <w:bottom w:val="single" w:sz="12" w:space="0" w:color="0096D7"/>
            </w:tcBorders>
            <w:shd w:val="clear" w:color="auto" w:fill="auto"/>
            <w:tcMar>
              <w:top w:w="90" w:type="dxa"/>
              <w:left w:w="150" w:type="dxa"/>
              <w:bottom w:w="75" w:type="dxa"/>
              <w:right w:w="150" w:type="dxa"/>
            </w:tcMar>
            <w:vAlign w:val="bottom"/>
            <w:hideMark/>
          </w:tcPr>
          <w:p w14:paraId="7EE2326F" w14:textId="77777777" w:rsidR="00337DE5" w:rsidRPr="00337DE5" w:rsidRDefault="00337DE5" w:rsidP="00337DE5">
            <w:pPr>
              <w:spacing w:after="0" w:line="240" w:lineRule="auto"/>
              <w:rPr>
                <w:rFonts w:ascii="Arial" w:eastAsia="Times New Roman" w:hAnsi="Arial" w:cs="Arial"/>
                <w:b/>
                <w:bCs/>
                <w:color w:val="333333"/>
                <w:sz w:val="27"/>
                <w:szCs w:val="27"/>
              </w:rPr>
            </w:pPr>
            <w:r w:rsidRPr="00337DE5">
              <w:rPr>
                <w:rFonts w:ascii="Arial" w:eastAsia="Times New Roman" w:hAnsi="Arial" w:cs="Arial"/>
                <w:b/>
                <w:bCs/>
                <w:color w:val="333333"/>
                <w:sz w:val="27"/>
                <w:szCs w:val="27"/>
              </w:rPr>
              <w:t>State</w:t>
            </w:r>
          </w:p>
        </w:tc>
        <w:tc>
          <w:tcPr>
            <w:tcW w:w="0" w:type="auto"/>
            <w:tcBorders>
              <w:bottom w:val="single" w:sz="12" w:space="0" w:color="0096D7"/>
            </w:tcBorders>
            <w:shd w:val="clear" w:color="auto" w:fill="auto"/>
            <w:tcMar>
              <w:top w:w="90" w:type="dxa"/>
              <w:left w:w="150" w:type="dxa"/>
              <w:bottom w:w="75" w:type="dxa"/>
              <w:right w:w="150" w:type="dxa"/>
            </w:tcMar>
            <w:vAlign w:val="bottom"/>
            <w:hideMark/>
          </w:tcPr>
          <w:p w14:paraId="46B5D285" w14:textId="77777777" w:rsidR="00337DE5" w:rsidRPr="00337DE5" w:rsidRDefault="00337DE5" w:rsidP="00337DE5">
            <w:pPr>
              <w:spacing w:after="0" w:line="240" w:lineRule="auto"/>
              <w:jc w:val="right"/>
              <w:rPr>
                <w:rFonts w:ascii="Arial" w:eastAsia="Times New Roman" w:hAnsi="Arial" w:cs="Arial"/>
                <w:b/>
                <w:bCs/>
                <w:color w:val="333333"/>
                <w:sz w:val="27"/>
                <w:szCs w:val="27"/>
              </w:rPr>
            </w:pPr>
            <w:r w:rsidRPr="00337DE5">
              <w:rPr>
                <w:rFonts w:ascii="Arial" w:eastAsia="Times New Roman" w:hAnsi="Arial" w:cs="Arial"/>
                <w:b/>
                <w:bCs/>
                <w:color w:val="333333"/>
                <w:sz w:val="27"/>
                <w:szCs w:val="27"/>
              </w:rPr>
              <w:t>Million barrels/day</w:t>
            </w:r>
          </w:p>
        </w:tc>
        <w:tc>
          <w:tcPr>
            <w:tcW w:w="0" w:type="auto"/>
            <w:tcBorders>
              <w:bottom w:val="single" w:sz="12" w:space="0" w:color="0096D7"/>
            </w:tcBorders>
            <w:shd w:val="clear" w:color="auto" w:fill="auto"/>
            <w:tcMar>
              <w:top w:w="90" w:type="dxa"/>
              <w:left w:w="150" w:type="dxa"/>
              <w:bottom w:w="75" w:type="dxa"/>
              <w:right w:w="150" w:type="dxa"/>
            </w:tcMar>
            <w:vAlign w:val="bottom"/>
            <w:hideMark/>
          </w:tcPr>
          <w:p w14:paraId="485A1E72" w14:textId="77777777" w:rsidR="00337DE5" w:rsidRPr="00337DE5" w:rsidRDefault="00337DE5" w:rsidP="00337DE5">
            <w:pPr>
              <w:spacing w:after="0" w:line="240" w:lineRule="auto"/>
              <w:jc w:val="right"/>
              <w:rPr>
                <w:rFonts w:ascii="Arial" w:eastAsia="Times New Roman" w:hAnsi="Arial" w:cs="Arial"/>
                <w:b/>
                <w:bCs/>
                <w:color w:val="333333"/>
                <w:sz w:val="27"/>
                <w:szCs w:val="27"/>
              </w:rPr>
            </w:pPr>
            <w:r w:rsidRPr="00337DE5">
              <w:rPr>
                <w:rFonts w:ascii="Arial" w:eastAsia="Times New Roman" w:hAnsi="Arial" w:cs="Arial"/>
                <w:b/>
                <w:bCs/>
                <w:color w:val="333333"/>
                <w:sz w:val="27"/>
                <w:szCs w:val="27"/>
              </w:rPr>
              <w:t>Million gallons/day</w:t>
            </w:r>
          </w:p>
        </w:tc>
        <w:tc>
          <w:tcPr>
            <w:tcW w:w="0" w:type="auto"/>
            <w:tcBorders>
              <w:bottom w:val="single" w:sz="12" w:space="0" w:color="0096D7"/>
            </w:tcBorders>
            <w:shd w:val="clear" w:color="auto" w:fill="auto"/>
            <w:tcMar>
              <w:top w:w="90" w:type="dxa"/>
              <w:left w:w="150" w:type="dxa"/>
              <w:bottom w:w="75" w:type="dxa"/>
              <w:right w:w="150" w:type="dxa"/>
            </w:tcMar>
            <w:vAlign w:val="bottom"/>
            <w:hideMark/>
          </w:tcPr>
          <w:p w14:paraId="444EC4FE" w14:textId="77777777" w:rsidR="00337DE5" w:rsidRPr="00337DE5" w:rsidRDefault="00337DE5" w:rsidP="00337DE5">
            <w:pPr>
              <w:spacing w:after="0" w:line="240" w:lineRule="auto"/>
              <w:jc w:val="right"/>
              <w:rPr>
                <w:rFonts w:ascii="Arial" w:eastAsia="Times New Roman" w:hAnsi="Arial" w:cs="Arial"/>
                <w:b/>
                <w:bCs/>
                <w:color w:val="333333"/>
                <w:sz w:val="27"/>
                <w:szCs w:val="27"/>
              </w:rPr>
            </w:pPr>
            <w:r w:rsidRPr="00337DE5">
              <w:rPr>
                <w:rFonts w:ascii="Arial" w:eastAsia="Times New Roman" w:hAnsi="Arial" w:cs="Arial"/>
                <w:b/>
                <w:bCs/>
                <w:color w:val="333333"/>
                <w:sz w:val="27"/>
                <w:szCs w:val="27"/>
              </w:rPr>
              <w:t>Share of total U.S. motor gasoline consumption</w:t>
            </w:r>
          </w:p>
        </w:tc>
      </w:tr>
      <w:tr w:rsidR="00337DE5" w:rsidRPr="00337DE5" w14:paraId="26F8CA14" w14:textId="77777777" w:rsidTr="00337DE5">
        <w:tc>
          <w:tcPr>
            <w:tcW w:w="0" w:type="auto"/>
            <w:tcBorders>
              <w:top w:val="single" w:sz="18" w:space="0" w:color="0096D7"/>
            </w:tcBorders>
            <w:shd w:val="clear" w:color="auto" w:fill="FFFFFF"/>
            <w:tcMar>
              <w:top w:w="90" w:type="dxa"/>
              <w:left w:w="150" w:type="dxa"/>
              <w:bottom w:w="75" w:type="dxa"/>
              <w:right w:w="150" w:type="dxa"/>
            </w:tcMar>
            <w:hideMark/>
          </w:tcPr>
          <w:p w14:paraId="11FA37A3" w14:textId="77777777" w:rsidR="00337DE5" w:rsidRPr="00337DE5" w:rsidRDefault="00337DE5" w:rsidP="00337DE5">
            <w:pPr>
              <w:spacing w:after="0" w:line="240" w:lineRule="auto"/>
              <w:rPr>
                <w:rFonts w:ascii="Arial" w:eastAsia="Times New Roman" w:hAnsi="Arial" w:cs="Arial"/>
                <w:color w:val="333333"/>
                <w:sz w:val="27"/>
                <w:szCs w:val="27"/>
              </w:rPr>
            </w:pPr>
            <w:r w:rsidRPr="00337DE5">
              <w:rPr>
                <w:rFonts w:ascii="Arial" w:eastAsia="Times New Roman" w:hAnsi="Arial" w:cs="Arial"/>
                <w:color w:val="333333"/>
                <w:sz w:val="27"/>
                <w:szCs w:val="27"/>
              </w:rPr>
              <w:t>Texas</w:t>
            </w:r>
          </w:p>
        </w:tc>
        <w:tc>
          <w:tcPr>
            <w:tcW w:w="0" w:type="auto"/>
            <w:tcBorders>
              <w:top w:val="single" w:sz="18" w:space="0" w:color="0096D7"/>
            </w:tcBorders>
            <w:shd w:val="clear" w:color="auto" w:fill="FFFFFF"/>
            <w:tcMar>
              <w:top w:w="90" w:type="dxa"/>
              <w:left w:w="150" w:type="dxa"/>
              <w:bottom w:w="75" w:type="dxa"/>
              <w:right w:w="150" w:type="dxa"/>
            </w:tcMar>
            <w:hideMark/>
          </w:tcPr>
          <w:p w14:paraId="473531DF" w14:textId="77777777" w:rsidR="00337DE5" w:rsidRPr="00337DE5" w:rsidRDefault="00337DE5" w:rsidP="00337DE5">
            <w:pPr>
              <w:spacing w:after="0" w:line="240" w:lineRule="auto"/>
              <w:jc w:val="right"/>
              <w:rPr>
                <w:rFonts w:ascii="Arial" w:eastAsia="Times New Roman" w:hAnsi="Arial" w:cs="Arial"/>
                <w:color w:val="333333"/>
                <w:sz w:val="27"/>
                <w:szCs w:val="27"/>
              </w:rPr>
            </w:pPr>
            <w:r w:rsidRPr="00337DE5">
              <w:rPr>
                <w:rFonts w:ascii="Arial" w:eastAsia="Times New Roman" w:hAnsi="Arial" w:cs="Arial"/>
                <w:color w:val="333333"/>
                <w:sz w:val="27"/>
                <w:szCs w:val="27"/>
              </w:rPr>
              <w:t>0.99</w:t>
            </w:r>
          </w:p>
        </w:tc>
        <w:tc>
          <w:tcPr>
            <w:tcW w:w="0" w:type="auto"/>
            <w:tcBorders>
              <w:top w:val="single" w:sz="18" w:space="0" w:color="0096D7"/>
            </w:tcBorders>
            <w:shd w:val="clear" w:color="auto" w:fill="FFFFFF"/>
            <w:tcMar>
              <w:top w:w="90" w:type="dxa"/>
              <w:left w:w="150" w:type="dxa"/>
              <w:bottom w:w="75" w:type="dxa"/>
              <w:right w:w="150" w:type="dxa"/>
            </w:tcMar>
            <w:hideMark/>
          </w:tcPr>
          <w:p w14:paraId="5EC700B1" w14:textId="77777777" w:rsidR="00337DE5" w:rsidRPr="00337DE5" w:rsidRDefault="00337DE5" w:rsidP="00337DE5">
            <w:pPr>
              <w:spacing w:after="0" w:line="240" w:lineRule="auto"/>
              <w:jc w:val="right"/>
              <w:rPr>
                <w:rFonts w:ascii="Arial" w:eastAsia="Times New Roman" w:hAnsi="Arial" w:cs="Arial"/>
                <w:color w:val="333333"/>
                <w:sz w:val="27"/>
                <w:szCs w:val="27"/>
              </w:rPr>
            </w:pPr>
            <w:r w:rsidRPr="00337DE5">
              <w:rPr>
                <w:rFonts w:ascii="Arial" w:eastAsia="Times New Roman" w:hAnsi="Arial" w:cs="Arial"/>
                <w:color w:val="333333"/>
                <w:sz w:val="27"/>
                <w:szCs w:val="27"/>
              </w:rPr>
              <w:t>41.50</w:t>
            </w:r>
          </w:p>
        </w:tc>
        <w:tc>
          <w:tcPr>
            <w:tcW w:w="0" w:type="auto"/>
            <w:tcBorders>
              <w:top w:val="single" w:sz="18" w:space="0" w:color="0096D7"/>
            </w:tcBorders>
            <w:shd w:val="clear" w:color="auto" w:fill="FFFFFF"/>
            <w:tcMar>
              <w:top w:w="90" w:type="dxa"/>
              <w:left w:w="150" w:type="dxa"/>
              <w:bottom w:w="75" w:type="dxa"/>
              <w:right w:w="150" w:type="dxa"/>
            </w:tcMar>
            <w:hideMark/>
          </w:tcPr>
          <w:p w14:paraId="1372677C" w14:textId="77777777" w:rsidR="00337DE5" w:rsidRPr="00337DE5" w:rsidRDefault="00337DE5" w:rsidP="00337DE5">
            <w:pPr>
              <w:spacing w:after="0" w:line="240" w:lineRule="auto"/>
              <w:jc w:val="right"/>
              <w:rPr>
                <w:rFonts w:ascii="Arial" w:eastAsia="Times New Roman" w:hAnsi="Arial" w:cs="Arial"/>
                <w:color w:val="333333"/>
                <w:sz w:val="27"/>
                <w:szCs w:val="27"/>
              </w:rPr>
            </w:pPr>
            <w:r w:rsidRPr="00337DE5">
              <w:rPr>
                <w:rFonts w:ascii="Arial" w:eastAsia="Times New Roman" w:hAnsi="Arial" w:cs="Arial"/>
                <w:color w:val="333333"/>
                <w:sz w:val="27"/>
                <w:szCs w:val="27"/>
              </w:rPr>
              <w:t>11%</w:t>
            </w:r>
          </w:p>
        </w:tc>
      </w:tr>
      <w:tr w:rsidR="00337DE5" w:rsidRPr="00337DE5" w14:paraId="40C13AE6" w14:textId="77777777" w:rsidTr="00337DE5">
        <w:tc>
          <w:tcPr>
            <w:tcW w:w="0" w:type="auto"/>
            <w:tcBorders>
              <w:top w:val="dashed" w:sz="6" w:space="0" w:color="D8D8D8"/>
            </w:tcBorders>
            <w:shd w:val="clear" w:color="auto" w:fill="FFFFFF"/>
            <w:tcMar>
              <w:top w:w="90" w:type="dxa"/>
              <w:left w:w="150" w:type="dxa"/>
              <w:bottom w:w="75" w:type="dxa"/>
              <w:right w:w="150" w:type="dxa"/>
            </w:tcMar>
            <w:hideMark/>
          </w:tcPr>
          <w:p w14:paraId="316D266D" w14:textId="77777777" w:rsidR="00337DE5" w:rsidRPr="00337DE5" w:rsidRDefault="00337DE5" w:rsidP="00337DE5">
            <w:pPr>
              <w:spacing w:after="0" w:line="240" w:lineRule="auto"/>
              <w:rPr>
                <w:rFonts w:ascii="Arial" w:eastAsia="Times New Roman" w:hAnsi="Arial" w:cs="Arial"/>
                <w:color w:val="333333"/>
                <w:sz w:val="27"/>
                <w:szCs w:val="27"/>
              </w:rPr>
            </w:pPr>
            <w:r w:rsidRPr="00337DE5">
              <w:rPr>
                <w:rFonts w:ascii="Arial" w:eastAsia="Times New Roman" w:hAnsi="Arial" w:cs="Arial"/>
                <w:color w:val="333333"/>
                <w:sz w:val="27"/>
                <w:szCs w:val="27"/>
              </w:rPr>
              <w:t>California</w:t>
            </w:r>
          </w:p>
        </w:tc>
        <w:tc>
          <w:tcPr>
            <w:tcW w:w="0" w:type="auto"/>
            <w:tcBorders>
              <w:top w:val="dashed" w:sz="6" w:space="0" w:color="D8D8D8"/>
            </w:tcBorders>
            <w:shd w:val="clear" w:color="auto" w:fill="FFFFFF"/>
            <w:tcMar>
              <w:top w:w="90" w:type="dxa"/>
              <w:left w:w="150" w:type="dxa"/>
              <w:bottom w:w="75" w:type="dxa"/>
              <w:right w:w="150" w:type="dxa"/>
            </w:tcMar>
            <w:hideMark/>
          </w:tcPr>
          <w:p w14:paraId="4367F02D" w14:textId="77777777" w:rsidR="00337DE5" w:rsidRPr="00337DE5" w:rsidRDefault="00337DE5" w:rsidP="00337DE5">
            <w:pPr>
              <w:spacing w:after="0" w:line="240" w:lineRule="auto"/>
              <w:jc w:val="right"/>
              <w:rPr>
                <w:rFonts w:ascii="Arial" w:eastAsia="Times New Roman" w:hAnsi="Arial" w:cs="Arial"/>
                <w:color w:val="333333"/>
                <w:sz w:val="27"/>
                <w:szCs w:val="27"/>
              </w:rPr>
            </w:pPr>
            <w:r w:rsidRPr="00337DE5">
              <w:rPr>
                <w:rFonts w:ascii="Arial" w:eastAsia="Times New Roman" w:hAnsi="Arial" w:cs="Arial"/>
                <w:color w:val="333333"/>
                <w:sz w:val="27"/>
                <w:szCs w:val="27"/>
              </w:rPr>
              <w:t>0.92</w:t>
            </w:r>
          </w:p>
        </w:tc>
        <w:tc>
          <w:tcPr>
            <w:tcW w:w="0" w:type="auto"/>
            <w:tcBorders>
              <w:top w:val="dashed" w:sz="6" w:space="0" w:color="D8D8D8"/>
            </w:tcBorders>
            <w:shd w:val="clear" w:color="auto" w:fill="FFFFFF"/>
            <w:tcMar>
              <w:top w:w="90" w:type="dxa"/>
              <w:left w:w="150" w:type="dxa"/>
              <w:bottom w:w="75" w:type="dxa"/>
              <w:right w:w="150" w:type="dxa"/>
            </w:tcMar>
            <w:hideMark/>
          </w:tcPr>
          <w:p w14:paraId="0575BA41" w14:textId="77777777" w:rsidR="00337DE5" w:rsidRPr="00337DE5" w:rsidRDefault="00337DE5" w:rsidP="00337DE5">
            <w:pPr>
              <w:spacing w:after="0" w:line="240" w:lineRule="auto"/>
              <w:jc w:val="right"/>
              <w:rPr>
                <w:rFonts w:ascii="Arial" w:eastAsia="Times New Roman" w:hAnsi="Arial" w:cs="Arial"/>
                <w:color w:val="333333"/>
                <w:sz w:val="27"/>
                <w:szCs w:val="27"/>
              </w:rPr>
            </w:pPr>
            <w:r w:rsidRPr="00337DE5">
              <w:rPr>
                <w:rFonts w:ascii="Arial" w:eastAsia="Times New Roman" w:hAnsi="Arial" w:cs="Arial"/>
                <w:color w:val="333333"/>
                <w:sz w:val="27"/>
                <w:szCs w:val="27"/>
              </w:rPr>
              <w:t>38.53</w:t>
            </w:r>
          </w:p>
        </w:tc>
        <w:tc>
          <w:tcPr>
            <w:tcW w:w="0" w:type="auto"/>
            <w:tcBorders>
              <w:top w:val="dashed" w:sz="6" w:space="0" w:color="D8D8D8"/>
            </w:tcBorders>
            <w:shd w:val="clear" w:color="auto" w:fill="FFFFFF"/>
            <w:tcMar>
              <w:top w:w="90" w:type="dxa"/>
              <w:left w:w="150" w:type="dxa"/>
              <w:bottom w:w="75" w:type="dxa"/>
              <w:right w:w="150" w:type="dxa"/>
            </w:tcMar>
            <w:hideMark/>
          </w:tcPr>
          <w:p w14:paraId="1077032B" w14:textId="77777777" w:rsidR="00337DE5" w:rsidRPr="00337DE5" w:rsidRDefault="00337DE5" w:rsidP="00337DE5">
            <w:pPr>
              <w:spacing w:after="0" w:line="240" w:lineRule="auto"/>
              <w:jc w:val="right"/>
              <w:rPr>
                <w:rFonts w:ascii="Arial" w:eastAsia="Times New Roman" w:hAnsi="Arial" w:cs="Arial"/>
                <w:color w:val="333333"/>
                <w:sz w:val="27"/>
                <w:szCs w:val="27"/>
              </w:rPr>
            </w:pPr>
            <w:r w:rsidRPr="00337DE5">
              <w:rPr>
                <w:rFonts w:ascii="Arial" w:eastAsia="Times New Roman" w:hAnsi="Arial" w:cs="Arial"/>
                <w:color w:val="333333"/>
                <w:sz w:val="27"/>
                <w:szCs w:val="27"/>
              </w:rPr>
              <w:t>10%</w:t>
            </w:r>
          </w:p>
        </w:tc>
      </w:tr>
      <w:tr w:rsidR="00337DE5" w:rsidRPr="00337DE5" w14:paraId="63FCC5A5" w14:textId="77777777" w:rsidTr="00337DE5">
        <w:tc>
          <w:tcPr>
            <w:tcW w:w="0" w:type="auto"/>
            <w:tcBorders>
              <w:top w:val="dashed" w:sz="6" w:space="0" w:color="D8D8D8"/>
            </w:tcBorders>
            <w:shd w:val="clear" w:color="auto" w:fill="FFFFFF"/>
            <w:tcMar>
              <w:top w:w="90" w:type="dxa"/>
              <w:left w:w="150" w:type="dxa"/>
              <w:bottom w:w="75" w:type="dxa"/>
              <w:right w:w="150" w:type="dxa"/>
            </w:tcMar>
            <w:hideMark/>
          </w:tcPr>
          <w:p w14:paraId="4FFD5ED3" w14:textId="77777777" w:rsidR="00337DE5" w:rsidRPr="00337DE5" w:rsidRDefault="00337DE5" w:rsidP="00337DE5">
            <w:pPr>
              <w:spacing w:after="0" w:line="240" w:lineRule="auto"/>
              <w:rPr>
                <w:rFonts w:ascii="Arial" w:eastAsia="Times New Roman" w:hAnsi="Arial" w:cs="Arial"/>
                <w:color w:val="333333"/>
                <w:sz w:val="27"/>
                <w:szCs w:val="27"/>
              </w:rPr>
            </w:pPr>
            <w:r w:rsidRPr="00337DE5">
              <w:rPr>
                <w:rFonts w:ascii="Arial" w:eastAsia="Times New Roman" w:hAnsi="Arial" w:cs="Arial"/>
                <w:color w:val="333333"/>
                <w:sz w:val="27"/>
                <w:szCs w:val="27"/>
              </w:rPr>
              <w:t>Florida</w:t>
            </w:r>
          </w:p>
        </w:tc>
        <w:tc>
          <w:tcPr>
            <w:tcW w:w="0" w:type="auto"/>
            <w:tcBorders>
              <w:top w:val="dashed" w:sz="6" w:space="0" w:color="D8D8D8"/>
            </w:tcBorders>
            <w:shd w:val="clear" w:color="auto" w:fill="FFFFFF"/>
            <w:tcMar>
              <w:top w:w="90" w:type="dxa"/>
              <w:left w:w="150" w:type="dxa"/>
              <w:bottom w:w="75" w:type="dxa"/>
              <w:right w:w="150" w:type="dxa"/>
            </w:tcMar>
            <w:hideMark/>
          </w:tcPr>
          <w:p w14:paraId="462B9341" w14:textId="77777777" w:rsidR="00337DE5" w:rsidRPr="00337DE5" w:rsidRDefault="00337DE5" w:rsidP="00337DE5">
            <w:pPr>
              <w:spacing w:after="0" w:line="240" w:lineRule="auto"/>
              <w:jc w:val="right"/>
              <w:rPr>
                <w:rFonts w:ascii="Arial" w:eastAsia="Times New Roman" w:hAnsi="Arial" w:cs="Arial"/>
                <w:color w:val="333333"/>
                <w:sz w:val="27"/>
                <w:szCs w:val="27"/>
              </w:rPr>
            </w:pPr>
            <w:r w:rsidRPr="00337DE5">
              <w:rPr>
                <w:rFonts w:ascii="Arial" w:eastAsia="Times New Roman" w:hAnsi="Arial" w:cs="Arial"/>
                <w:color w:val="333333"/>
                <w:sz w:val="27"/>
                <w:szCs w:val="27"/>
              </w:rPr>
              <w:t>0.47</w:t>
            </w:r>
          </w:p>
        </w:tc>
        <w:tc>
          <w:tcPr>
            <w:tcW w:w="0" w:type="auto"/>
            <w:tcBorders>
              <w:top w:val="dashed" w:sz="6" w:space="0" w:color="D8D8D8"/>
            </w:tcBorders>
            <w:shd w:val="clear" w:color="auto" w:fill="FFFFFF"/>
            <w:tcMar>
              <w:top w:w="90" w:type="dxa"/>
              <w:left w:w="150" w:type="dxa"/>
              <w:bottom w:w="75" w:type="dxa"/>
              <w:right w:w="150" w:type="dxa"/>
            </w:tcMar>
            <w:hideMark/>
          </w:tcPr>
          <w:p w14:paraId="10BCECD9" w14:textId="77777777" w:rsidR="00337DE5" w:rsidRPr="00337DE5" w:rsidRDefault="00337DE5" w:rsidP="00337DE5">
            <w:pPr>
              <w:spacing w:after="0" w:line="240" w:lineRule="auto"/>
              <w:jc w:val="right"/>
              <w:rPr>
                <w:rFonts w:ascii="Arial" w:eastAsia="Times New Roman" w:hAnsi="Arial" w:cs="Arial"/>
                <w:color w:val="333333"/>
                <w:sz w:val="27"/>
                <w:szCs w:val="27"/>
              </w:rPr>
            </w:pPr>
            <w:r w:rsidRPr="00337DE5">
              <w:rPr>
                <w:rFonts w:ascii="Arial" w:eastAsia="Times New Roman" w:hAnsi="Arial" w:cs="Arial"/>
                <w:color w:val="333333"/>
                <w:sz w:val="27"/>
                <w:szCs w:val="27"/>
              </w:rPr>
              <w:t>19.73</w:t>
            </w:r>
          </w:p>
        </w:tc>
        <w:tc>
          <w:tcPr>
            <w:tcW w:w="0" w:type="auto"/>
            <w:tcBorders>
              <w:top w:val="dashed" w:sz="6" w:space="0" w:color="D8D8D8"/>
            </w:tcBorders>
            <w:shd w:val="clear" w:color="auto" w:fill="FFFFFF"/>
            <w:tcMar>
              <w:top w:w="90" w:type="dxa"/>
              <w:left w:w="150" w:type="dxa"/>
              <w:bottom w:w="75" w:type="dxa"/>
              <w:right w:w="150" w:type="dxa"/>
            </w:tcMar>
            <w:hideMark/>
          </w:tcPr>
          <w:p w14:paraId="3AD6F834" w14:textId="77777777" w:rsidR="00337DE5" w:rsidRPr="00337DE5" w:rsidRDefault="00337DE5" w:rsidP="00337DE5">
            <w:pPr>
              <w:spacing w:after="0" w:line="240" w:lineRule="auto"/>
              <w:jc w:val="right"/>
              <w:rPr>
                <w:rFonts w:ascii="Arial" w:eastAsia="Times New Roman" w:hAnsi="Arial" w:cs="Arial"/>
                <w:color w:val="333333"/>
                <w:sz w:val="27"/>
                <w:szCs w:val="27"/>
              </w:rPr>
            </w:pPr>
            <w:r w:rsidRPr="00337DE5">
              <w:rPr>
                <w:rFonts w:ascii="Arial" w:eastAsia="Times New Roman" w:hAnsi="Arial" w:cs="Arial"/>
                <w:color w:val="333333"/>
                <w:sz w:val="27"/>
                <w:szCs w:val="27"/>
              </w:rPr>
              <w:t>5%</w:t>
            </w:r>
          </w:p>
        </w:tc>
      </w:tr>
      <w:tr w:rsidR="00337DE5" w:rsidRPr="00337DE5" w14:paraId="72931BFD" w14:textId="77777777" w:rsidTr="00337DE5">
        <w:tc>
          <w:tcPr>
            <w:tcW w:w="0" w:type="auto"/>
            <w:tcBorders>
              <w:top w:val="dashed" w:sz="6" w:space="0" w:color="D8D8D8"/>
            </w:tcBorders>
            <w:shd w:val="clear" w:color="auto" w:fill="FFFFFF"/>
            <w:tcMar>
              <w:top w:w="90" w:type="dxa"/>
              <w:left w:w="150" w:type="dxa"/>
              <w:bottom w:w="75" w:type="dxa"/>
              <w:right w:w="150" w:type="dxa"/>
            </w:tcMar>
            <w:hideMark/>
          </w:tcPr>
          <w:p w14:paraId="73373436" w14:textId="77777777" w:rsidR="00337DE5" w:rsidRPr="00337DE5" w:rsidRDefault="00337DE5" w:rsidP="00337DE5">
            <w:pPr>
              <w:spacing w:after="0" w:line="240" w:lineRule="auto"/>
              <w:rPr>
                <w:rFonts w:ascii="Arial" w:eastAsia="Times New Roman" w:hAnsi="Arial" w:cs="Arial"/>
                <w:color w:val="333333"/>
                <w:sz w:val="27"/>
                <w:szCs w:val="27"/>
              </w:rPr>
            </w:pPr>
            <w:r w:rsidRPr="00337DE5">
              <w:rPr>
                <w:rFonts w:ascii="Arial" w:eastAsia="Times New Roman" w:hAnsi="Arial" w:cs="Arial"/>
                <w:color w:val="333333"/>
                <w:sz w:val="27"/>
                <w:szCs w:val="27"/>
              </w:rPr>
              <w:t>New York</w:t>
            </w:r>
          </w:p>
        </w:tc>
        <w:tc>
          <w:tcPr>
            <w:tcW w:w="0" w:type="auto"/>
            <w:tcBorders>
              <w:top w:val="dashed" w:sz="6" w:space="0" w:color="D8D8D8"/>
            </w:tcBorders>
            <w:shd w:val="clear" w:color="auto" w:fill="FFFFFF"/>
            <w:tcMar>
              <w:top w:w="90" w:type="dxa"/>
              <w:left w:w="150" w:type="dxa"/>
              <w:bottom w:w="75" w:type="dxa"/>
              <w:right w:w="150" w:type="dxa"/>
            </w:tcMar>
            <w:hideMark/>
          </w:tcPr>
          <w:p w14:paraId="27DB03B0" w14:textId="77777777" w:rsidR="00337DE5" w:rsidRPr="00337DE5" w:rsidRDefault="00337DE5" w:rsidP="00337DE5">
            <w:pPr>
              <w:spacing w:after="0" w:line="240" w:lineRule="auto"/>
              <w:jc w:val="right"/>
              <w:rPr>
                <w:rFonts w:ascii="Arial" w:eastAsia="Times New Roman" w:hAnsi="Arial" w:cs="Arial"/>
                <w:color w:val="333333"/>
                <w:sz w:val="27"/>
                <w:szCs w:val="27"/>
              </w:rPr>
            </w:pPr>
            <w:r w:rsidRPr="00337DE5">
              <w:rPr>
                <w:rFonts w:ascii="Arial" w:eastAsia="Times New Roman" w:hAnsi="Arial" w:cs="Arial"/>
                <w:color w:val="333333"/>
                <w:sz w:val="27"/>
                <w:szCs w:val="27"/>
              </w:rPr>
              <w:t>0.35</w:t>
            </w:r>
          </w:p>
        </w:tc>
        <w:tc>
          <w:tcPr>
            <w:tcW w:w="0" w:type="auto"/>
            <w:tcBorders>
              <w:top w:val="dashed" w:sz="6" w:space="0" w:color="D8D8D8"/>
            </w:tcBorders>
            <w:shd w:val="clear" w:color="auto" w:fill="FFFFFF"/>
            <w:tcMar>
              <w:top w:w="90" w:type="dxa"/>
              <w:left w:w="150" w:type="dxa"/>
              <w:bottom w:w="75" w:type="dxa"/>
              <w:right w:w="150" w:type="dxa"/>
            </w:tcMar>
            <w:hideMark/>
          </w:tcPr>
          <w:p w14:paraId="18294B62" w14:textId="77777777" w:rsidR="00337DE5" w:rsidRPr="00337DE5" w:rsidRDefault="00337DE5" w:rsidP="00337DE5">
            <w:pPr>
              <w:spacing w:after="0" w:line="240" w:lineRule="auto"/>
              <w:jc w:val="right"/>
              <w:rPr>
                <w:rFonts w:ascii="Arial" w:eastAsia="Times New Roman" w:hAnsi="Arial" w:cs="Arial"/>
                <w:color w:val="333333"/>
                <w:sz w:val="27"/>
                <w:szCs w:val="27"/>
              </w:rPr>
            </w:pPr>
            <w:r w:rsidRPr="00337DE5">
              <w:rPr>
                <w:rFonts w:ascii="Arial" w:eastAsia="Times New Roman" w:hAnsi="Arial" w:cs="Arial"/>
                <w:color w:val="333333"/>
                <w:sz w:val="27"/>
                <w:szCs w:val="27"/>
              </w:rPr>
              <w:t>14.87</w:t>
            </w:r>
          </w:p>
        </w:tc>
        <w:tc>
          <w:tcPr>
            <w:tcW w:w="0" w:type="auto"/>
            <w:tcBorders>
              <w:top w:val="dashed" w:sz="6" w:space="0" w:color="D8D8D8"/>
            </w:tcBorders>
            <w:shd w:val="clear" w:color="auto" w:fill="FFFFFF"/>
            <w:tcMar>
              <w:top w:w="90" w:type="dxa"/>
              <w:left w:w="150" w:type="dxa"/>
              <w:bottom w:w="75" w:type="dxa"/>
              <w:right w:w="150" w:type="dxa"/>
            </w:tcMar>
            <w:hideMark/>
          </w:tcPr>
          <w:p w14:paraId="033DBD48" w14:textId="77777777" w:rsidR="00337DE5" w:rsidRPr="00337DE5" w:rsidRDefault="00337DE5" w:rsidP="00337DE5">
            <w:pPr>
              <w:spacing w:after="0" w:line="240" w:lineRule="auto"/>
              <w:jc w:val="right"/>
              <w:rPr>
                <w:rFonts w:ascii="Arial" w:eastAsia="Times New Roman" w:hAnsi="Arial" w:cs="Arial"/>
                <w:color w:val="333333"/>
                <w:sz w:val="27"/>
                <w:szCs w:val="27"/>
              </w:rPr>
            </w:pPr>
            <w:r w:rsidRPr="00337DE5">
              <w:rPr>
                <w:rFonts w:ascii="Arial" w:eastAsia="Times New Roman" w:hAnsi="Arial" w:cs="Arial"/>
                <w:color w:val="333333"/>
                <w:sz w:val="27"/>
                <w:szCs w:val="27"/>
              </w:rPr>
              <w:t>4%</w:t>
            </w:r>
          </w:p>
        </w:tc>
      </w:tr>
      <w:tr w:rsidR="00337DE5" w:rsidRPr="00337DE5" w14:paraId="332912B8" w14:textId="77777777" w:rsidTr="00337DE5">
        <w:tc>
          <w:tcPr>
            <w:tcW w:w="0" w:type="auto"/>
            <w:tcBorders>
              <w:top w:val="dashed" w:sz="6" w:space="0" w:color="D8D8D8"/>
            </w:tcBorders>
            <w:shd w:val="clear" w:color="auto" w:fill="FFFFFF"/>
            <w:tcMar>
              <w:top w:w="90" w:type="dxa"/>
              <w:left w:w="150" w:type="dxa"/>
              <w:bottom w:w="75" w:type="dxa"/>
              <w:right w:w="150" w:type="dxa"/>
            </w:tcMar>
            <w:hideMark/>
          </w:tcPr>
          <w:p w14:paraId="10A5B8E5" w14:textId="77777777" w:rsidR="00337DE5" w:rsidRPr="00337DE5" w:rsidRDefault="00337DE5" w:rsidP="00337DE5">
            <w:pPr>
              <w:spacing w:after="0" w:line="240" w:lineRule="auto"/>
              <w:rPr>
                <w:rFonts w:ascii="Arial" w:eastAsia="Times New Roman" w:hAnsi="Arial" w:cs="Arial"/>
                <w:color w:val="333333"/>
                <w:sz w:val="27"/>
                <w:szCs w:val="27"/>
              </w:rPr>
            </w:pPr>
            <w:r w:rsidRPr="00337DE5">
              <w:rPr>
                <w:rFonts w:ascii="Arial" w:eastAsia="Times New Roman" w:hAnsi="Arial" w:cs="Arial"/>
                <w:color w:val="333333"/>
                <w:sz w:val="27"/>
                <w:szCs w:val="27"/>
              </w:rPr>
              <w:t>Ohio</w:t>
            </w:r>
          </w:p>
        </w:tc>
        <w:tc>
          <w:tcPr>
            <w:tcW w:w="0" w:type="auto"/>
            <w:tcBorders>
              <w:top w:val="dashed" w:sz="6" w:space="0" w:color="D8D8D8"/>
            </w:tcBorders>
            <w:shd w:val="clear" w:color="auto" w:fill="FFFFFF"/>
            <w:tcMar>
              <w:top w:w="90" w:type="dxa"/>
              <w:left w:w="150" w:type="dxa"/>
              <w:bottom w:w="75" w:type="dxa"/>
              <w:right w:w="150" w:type="dxa"/>
            </w:tcMar>
            <w:hideMark/>
          </w:tcPr>
          <w:p w14:paraId="40B2D6AC" w14:textId="77777777" w:rsidR="00337DE5" w:rsidRPr="00337DE5" w:rsidRDefault="00337DE5" w:rsidP="00337DE5">
            <w:pPr>
              <w:spacing w:after="0" w:line="240" w:lineRule="auto"/>
              <w:jc w:val="right"/>
              <w:rPr>
                <w:rFonts w:ascii="Arial" w:eastAsia="Times New Roman" w:hAnsi="Arial" w:cs="Arial"/>
                <w:color w:val="333333"/>
                <w:sz w:val="27"/>
                <w:szCs w:val="27"/>
              </w:rPr>
            </w:pPr>
            <w:r w:rsidRPr="00337DE5">
              <w:rPr>
                <w:rFonts w:ascii="Arial" w:eastAsia="Times New Roman" w:hAnsi="Arial" w:cs="Arial"/>
                <w:color w:val="333333"/>
                <w:sz w:val="27"/>
                <w:szCs w:val="27"/>
              </w:rPr>
              <w:t>0.32</w:t>
            </w:r>
          </w:p>
        </w:tc>
        <w:tc>
          <w:tcPr>
            <w:tcW w:w="0" w:type="auto"/>
            <w:tcBorders>
              <w:top w:val="dashed" w:sz="6" w:space="0" w:color="D8D8D8"/>
            </w:tcBorders>
            <w:shd w:val="clear" w:color="auto" w:fill="FFFFFF"/>
            <w:tcMar>
              <w:top w:w="90" w:type="dxa"/>
              <w:left w:w="150" w:type="dxa"/>
              <w:bottom w:w="75" w:type="dxa"/>
              <w:right w:w="150" w:type="dxa"/>
            </w:tcMar>
            <w:hideMark/>
          </w:tcPr>
          <w:p w14:paraId="27E26824" w14:textId="77777777" w:rsidR="00337DE5" w:rsidRPr="00337DE5" w:rsidRDefault="00337DE5" w:rsidP="00337DE5">
            <w:pPr>
              <w:spacing w:after="0" w:line="240" w:lineRule="auto"/>
              <w:jc w:val="right"/>
              <w:rPr>
                <w:rFonts w:ascii="Arial" w:eastAsia="Times New Roman" w:hAnsi="Arial" w:cs="Arial"/>
                <w:color w:val="333333"/>
                <w:sz w:val="27"/>
                <w:szCs w:val="27"/>
              </w:rPr>
            </w:pPr>
            <w:r w:rsidRPr="00337DE5">
              <w:rPr>
                <w:rFonts w:ascii="Arial" w:eastAsia="Times New Roman" w:hAnsi="Arial" w:cs="Arial"/>
                <w:color w:val="333333"/>
                <w:sz w:val="27"/>
                <w:szCs w:val="27"/>
              </w:rPr>
              <w:t>13.53</w:t>
            </w:r>
          </w:p>
        </w:tc>
        <w:tc>
          <w:tcPr>
            <w:tcW w:w="0" w:type="auto"/>
            <w:tcBorders>
              <w:top w:val="dashed" w:sz="6" w:space="0" w:color="D8D8D8"/>
            </w:tcBorders>
            <w:shd w:val="clear" w:color="auto" w:fill="FFFFFF"/>
            <w:tcMar>
              <w:top w:w="90" w:type="dxa"/>
              <w:left w:w="150" w:type="dxa"/>
              <w:bottom w:w="75" w:type="dxa"/>
              <w:right w:w="150" w:type="dxa"/>
            </w:tcMar>
            <w:hideMark/>
          </w:tcPr>
          <w:p w14:paraId="33C1F6E2" w14:textId="77777777" w:rsidR="00337DE5" w:rsidRPr="00337DE5" w:rsidRDefault="00337DE5" w:rsidP="00337DE5">
            <w:pPr>
              <w:spacing w:after="0" w:line="240" w:lineRule="auto"/>
              <w:jc w:val="right"/>
              <w:rPr>
                <w:rFonts w:ascii="Arial" w:eastAsia="Times New Roman" w:hAnsi="Arial" w:cs="Arial"/>
                <w:color w:val="333333"/>
                <w:sz w:val="27"/>
                <w:szCs w:val="27"/>
              </w:rPr>
            </w:pPr>
            <w:r w:rsidRPr="00337DE5">
              <w:rPr>
                <w:rFonts w:ascii="Arial" w:eastAsia="Times New Roman" w:hAnsi="Arial" w:cs="Arial"/>
                <w:color w:val="333333"/>
                <w:sz w:val="27"/>
                <w:szCs w:val="27"/>
              </w:rPr>
              <w:t>4%</w:t>
            </w:r>
          </w:p>
        </w:tc>
      </w:tr>
      <w:tr w:rsidR="00337DE5" w:rsidRPr="00337DE5" w14:paraId="6444EACC" w14:textId="77777777" w:rsidTr="00337DE5">
        <w:tc>
          <w:tcPr>
            <w:tcW w:w="0" w:type="auto"/>
            <w:gridSpan w:val="4"/>
            <w:tcBorders>
              <w:top w:val="single" w:sz="12" w:space="0" w:color="0096D7"/>
            </w:tcBorders>
            <w:shd w:val="clear" w:color="auto" w:fill="FFFFFF"/>
            <w:tcMar>
              <w:top w:w="180" w:type="dxa"/>
              <w:left w:w="0" w:type="dxa"/>
              <w:bottom w:w="150" w:type="dxa"/>
              <w:right w:w="150" w:type="dxa"/>
            </w:tcMar>
            <w:hideMark/>
          </w:tcPr>
          <w:p w14:paraId="49BFF5C9" w14:textId="77777777" w:rsidR="00337DE5" w:rsidRPr="00337DE5" w:rsidRDefault="00337DE5" w:rsidP="00337DE5">
            <w:pPr>
              <w:spacing w:after="120" w:line="240" w:lineRule="auto"/>
              <w:rPr>
                <w:rFonts w:ascii="Arial" w:eastAsia="Times New Roman" w:hAnsi="Arial" w:cs="Arial"/>
                <w:color w:val="333333"/>
                <w:sz w:val="27"/>
                <w:szCs w:val="27"/>
              </w:rPr>
            </w:pPr>
            <w:r w:rsidRPr="00337DE5">
              <w:rPr>
                <w:rFonts w:ascii="Arial" w:eastAsia="Times New Roman" w:hAnsi="Arial" w:cs="Arial"/>
                <w:color w:val="333333"/>
                <w:sz w:val="27"/>
                <w:szCs w:val="27"/>
              </w:rPr>
              <w:t>Source: U.S. Energy Information Administration, </w:t>
            </w:r>
            <w:hyperlink r:id="rId4" w:history="1">
              <w:r w:rsidRPr="00337DE5">
                <w:rPr>
                  <w:rFonts w:ascii="Arial" w:eastAsia="Times New Roman" w:hAnsi="Arial" w:cs="Arial"/>
                  <w:color w:val="0096D7"/>
                  <w:sz w:val="27"/>
                  <w:szCs w:val="27"/>
                  <w:u w:val="single"/>
                </w:rPr>
                <w:t>Petroleum and Other Liquids—Prime Supplier Sales Volumes</w:t>
              </w:r>
            </w:hyperlink>
            <w:r w:rsidRPr="00337DE5">
              <w:rPr>
                <w:rFonts w:ascii="Arial" w:eastAsia="Times New Roman" w:hAnsi="Arial" w:cs="Arial"/>
                <w:color w:val="333333"/>
                <w:sz w:val="27"/>
                <w:szCs w:val="27"/>
              </w:rPr>
              <w:t>, as of July 22, 2020</w:t>
            </w:r>
          </w:p>
        </w:tc>
      </w:tr>
    </w:tbl>
    <w:p w14:paraId="10C91A80" w14:textId="0E0A496A" w:rsidR="00F17D92" w:rsidRDefault="00F17D92"/>
    <w:p w14:paraId="0623F33C" w14:textId="77777777" w:rsidR="00F17D92" w:rsidRPr="00F17D92" w:rsidRDefault="00F17D92" w:rsidP="00F17D92">
      <w:pPr>
        <w:shd w:val="clear" w:color="auto" w:fill="FFFFFF"/>
        <w:spacing w:after="0" w:line="240" w:lineRule="auto"/>
        <w:outlineLvl w:val="0"/>
        <w:rPr>
          <w:rFonts w:ascii="Times New Roman" w:eastAsia="Times New Roman" w:hAnsi="Times New Roman" w:cs="Times New Roman"/>
          <w:color w:val="333333"/>
          <w:kern w:val="36"/>
          <w:sz w:val="48"/>
          <w:szCs w:val="48"/>
        </w:rPr>
      </w:pPr>
      <w:r w:rsidRPr="00F17D92">
        <w:rPr>
          <w:rFonts w:ascii="Times New Roman" w:eastAsia="Times New Roman" w:hAnsi="Times New Roman" w:cs="Times New Roman"/>
          <w:color w:val="333333"/>
          <w:kern w:val="36"/>
          <w:sz w:val="48"/>
          <w:szCs w:val="48"/>
        </w:rPr>
        <w:t>How many gallons of gasoline and diesel fuel are made from one barrel of oil?</w:t>
      </w:r>
    </w:p>
    <w:p w14:paraId="2C370696" w14:textId="77777777" w:rsidR="00F17D92" w:rsidRPr="00F17D92" w:rsidRDefault="00F17D92" w:rsidP="00F17D92">
      <w:pPr>
        <w:shd w:val="clear" w:color="auto" w:fill="FFFFFF"/>
        <w:spacing w:before="60" w:after="240" w:line="240" w:lineRule="auto"/>
        <w:rPr>
          <w:rFonts w:ascii="Arial" w:eastAsia="Times New Roman" w:hAnsi="Arial" w:cs="Arial"/>
          <w:color w:val="333333"/>
          <w:sz w:val="24"/>
          <w:szCs w:val="24"/>
        </w:rPr>
      </w:pPr>
      <w:r w:rsidRPr="00F17D92">
        <w:rPr>
          <w:rFonts w:ascii="Arial" w:eastAsia="Times New Roman" w:hAnsi="Arial" w:cs="Arial"/>
          <w:color w:val="333333"/>
          <w:sz w:val="24"/>
          <w:szCs w:val="24"/>
        </w:rPr>
        <w:t>Petroleum refineries in the United States produce about 19 to 20 gallons of motor gasoline and 11 to 12 gallons of ultra-low sulfur distillate fuel oil (most of which is sold as diesel fuel and in several states as heating oil) from one 42-gallon barrel of crude oil. Many other petroleum products are also refined from crude oil. Refinery yields of individual products vary from month to month as refiners focus operations to meet demand for different products and as they work to maximize profits.</w:t>
      </w:r>
    </w:p>
    <w:p w14:paraId="3BAF21BA" w14:textId="4A86F130" w:rsidR="00F17D92" w:rsidRDefault="00A42E00">
      <w:hyperlink r:id="rId5" w:history="1">
        <w:r w:rsidRPr="00BF7266">
          <w:rPr>
            <w:rStyle w:val="Hyperlink"/>
          </w:rPr>
          <w:t>https://www.eia.gov/tools/faqs/faq.php?id=327&amp;t=6</w:t>
        </w:r>
      </w:hyperlink>
    </w:p>
    <w:p w14:paraId="6FF4C891" w14:textId="35DFACA8" w:rsidR="00A42E00" w:rsidRDefault="00A42E00"/>
    <w:p w14:paraId="1C79E70A" w14:textId="77777777" w:rsidR="00BB6842" w:rsidRDefault="00BB6842" w:rsidP="00BB6842">
      <w:pPr>
        <w:pStyle w:val="Heading1"/>
        <w:shd w:val="clear" w:color="auto" w:fill="FFFFFF"/>
        <w:spacing w:before="0" w:beforeAutospacing="0" w:after="0" w:afterAutospacing="0"/>
        <w:rPr>
          <w:b w:val="0"/>
          <w:bCs w:val="0"/>
          <w:color w:val="333333"/>
        </w:rPr>
      </w:pPr>
      <w:r>
        <w:rPr>
          <w:b w:val="0"/>
          <w:bCs w:val="0"/>
          <w:color w:val="333333"/>
        </w:rPr>
        <w:t>How much oil consumed by the United States comes from foreign countries?</w:t>
      </w:r>
    </w:p>
    <w:p w14:paraId="0BA128E7" w14:textId="430FE720" w:rsidR="00BB6842" w:rsidRDefault="00BB6842" w:rsidP="00BB6842">
      <w:pPr>
        <w:pStyle w:val="NormalWeb"/>
        <w:shd w:val="clear" w:color="auto" w:fill="FFFFFF"/>
        <w:spacing w:before="0" w:beforeAutospacing="0" w:after="240" w:afterAutospacing="0"/>
        <w:rPr>
          <w:rFonts w:ascii="Arial" w:hAnsi="Arial" w:cs="Arial"/>
          <w:color w:val="333333"/>
        </w:rPr>
      </w:pPr>
      <w:r>
        <w:rPr>
          <w:rFonts w:ascii="Arial" w:hAnsi="Arial" w:cs="Arial"/>
          <w:color w:val="333333"/>
        </w:rPr>
        <w:t>In 2020, U.S. total </w:t>
      </w:r>
      <w:hyperlink r:id="rId6" w:anchor="/?f=A&amp;start=1949&amp;end=2020&amp;charted=4" w:history="1">
        <w:r>
          <w:rPr>
            <w:rStyle w:val="Hyperlink"/>
            <w:rFonts w:ascii="Arial" w:hAnsi="Arial" w:cs="Arial"/>
            <w:color w:val="0096D7"/>
          </w:rPr>
          <w:t>annual petroleum net imports</w:t>
        </w:r>
      </w:hyperlink>
      <w:r>
        <w:rPr>
          <w:rFonts w:ascii="Arial" w:hAnsi="Arial" w:cs="Arial"/>
          <w:color w:val="333333"/>
        </w:rPr>
        <w:t> (imports minus exports) from foreign countries averaged -65 million barrels per day (b/d).</w:t>
      </w:r>
      <w:r>
        <w:rPr>
          <w:rFonts w:ascii="Arial" w:hAnsi="Arial" w:cs="Arial"/>
          <w:color w:val="333333"/>
          <w:sz w:val="15"/>
          <w:szCs w:val="15"/>
          <w:vertAlign w:val="superscript"/>
        </w:rPr>
        <w:t>1</w:t>
      </w:r>
      <w:r>
        <w:rPr>
          <w:rFonts w:ascii="Arial" w:hAnsi="Arial" w:cs="Arial"/>
          <w:color w:val="333333"/>
        </w:rPr>
        <w:t> In other words, total annual U.S. petroleum exports in 2020 were 0.65 billion barrels per day greater than petroleum imports. This was the first year since at least 1950 that total annual petroleum imports were less than exports (exports were greater than imports) and </w:t>
      </w:r>
      <w:hyperlink r:id="rId7" w:anchor="/?f=A&amp;start=1949&amp;end=2020&amp;charted=10" w:history="1">
        <w:r>
          <w:rPr>
            <w:rStyle w:val="Hyperlink"/>
            <w:rFonts w:ascii="Arial" w:hAnsi="Arial" w:cs="Arial"/>
            <w:color w:val="0096D7"/>
          </w:rPr>
          <w:t>net petroleum imports’ percentage share</w:t>
        </w:r>
      </w:hyperlink>
      <w:r>
        <w:rPr>
          <w:rFonts w:ascii="Arial" w:hAnsi="Arial" w:cs="Arial"/>
          <w:color w:val="333333"/>
        </w:rPr>
        <w:t> of annual </w:t>
      </w:r>
      <w:hyperlink r:id="rId8" w:history="1">
        <w:r>
          <w:rPr>
            <w:rStyle w:val="Hyperlink"/>
            <w:rFonts w:ascii="Arial" w:hAnsi="Arial" w:cs="Arial"/>
            <w:color w:val="0096D7"/>
          </w:rPr>
          <w:t>petroleum consumption</w:t>
        </w:r>
      </w:hyperlink>
      <w:r>
        <w:rPr>
          <w:rFonts w:ascii="Arial" w:hAnsi="Arial" w:cs="Arial"/>
          <w:color w:val="333333"/>
        </w:rPr>
        <w:t> was negative (-3.6%).</w:t>
      </w:r>
    </w:p>
    <w:p w14:paraId="40AAD739" w14:textId="444B1886" w:rsidR="00BB6842" w:rsidRDefault="00BB6842" w:rsidP="00BB6842">
      <w:pPr>
        <w:pStyle w:val="NormalWeb"/>
        <w:shd w:val="clear" w:color="auto" w:fill="FFFFFF"/>
        <w:spacing w:before="0" w:beforeAutospacing="0" w:after="240" w:afterAutospacing="0"/>
        <w:rPr>
          <w:rFonts w:ascii="Arial" w:hAnsi="Arial" w:cs="Arial"/>
          <w:color w:val="333333"/>
        </w:rPr>
      </w:pPr>
      <w:r>
        <w:rPr>
          <w:rFonts w:ascii="Arial" w:hAnsi="Arial" w:cs="Arial"/>
          <w:color w:val="333333"/>
        </w:rPr>
        <w:lastRenderedPageBreak/>
        <w:t>Petroleum includes crude oil and petroleum products. Petroleum products include gasoline, diesel fuel, heating oil, jet fuel, chemical feedstocks, asphalt, biofuels (ethanol and biodiesel), and other products.</w:t>
      </w:r>
    </w:p>
    <w:p w14:paraId="4E1F5042" w14:textId="531A9B4D" w:rsidR="003F3789" w:rsidRDefault="003F3789" w:rsidP="003F3789">
      <w:pPr>
        <w:pStyle w:val="NormalWeb"/>
        <w:shd w:val="clear" w:color="auto" w:fill="FFFFFF"/>
        <w:spacing w:before="0" w:beforeAutospacing="0" w:after="240" w:afterAutospacing="0"/>
        <w:rPr>
          <w:rFonts w:ascii="Arial" w:hAnsi="Arial" w:cs="Arial"/>
          <w:color w:val="333333"/>
        </w:rPr>
      </w:pPr>
      <w:hyperlink r:id="rId9" w:history="1">
        <w:r w:rsidRPr="00BF7266">
          <w:rPr>
            <w:rStyle w:val="Hyperlink"/>
            <w:rFonts w:ascii="Arial" w:hAnsi="Arial" w:cs="Arial"/>
          </w:rPr>
          <w:t>https://www.eia.gov/tools/faqs/faq.php?id=32&amp;t=6</w:t>
        </w:r>
      </w:hyperlink>
    </w:p>
    <w:p w14:paraId="47A3F4F0" w14:textId="77777777" w:rsidR="00B2368C" w:rsidRDefault="00B2368C" w:rsidP="00B2368C">
      <w:pPr>
        <w:pStyle w:val="Heading1"/>
        <w:shd w:val="clear" w:color="auto" w:fill="FFFFFF"/>
        <w:spacing w:before="0" w:beforeAutospacing="0" w:after="0" w:afterAutospacing="0"/>
        <w:rPr>
          <w:b w:val="0"/>
          <w:bCs w:val="0"/>
          <w:color w:val="333333"/>
        </w:rPr>
      </w:pPr>
      <w:r>
        <w:rPr>
          <w:b w:val="0"/>
          <w:bCs w:val="0"/>
          <w:color w:val="333333"/>
        </w:rPr>
        <w:t>Does the world have enough oil to meet our future needs?</w:t>
      </w:r>
    </w:p>
    <w:p w14:paraId="77F86F67" w14:textId="77777777" w:rsidR="00B2368C" w:rsidRDefault="00B2368C" w:rsidP="00B2368C">
      <w:pPr>
        <w:pStyle w:val="NormalWeb"/>
        <w:shd w:val="clear" w:color="auto" w:fill="FFFFFF"/>
        <w:spacing w:before="60" w:beforeAutospacing="0" w:after="240" w:afterAutospacing="0"/>
        <w:rPr>
          <w:rFonts w:ascii="Arial" w:hAnsi="Arial" w:cs="Arial"/>
          <w:color w:val="333333"/>
        </w:rPr>
      </w:pPr>
      <w:r>
        <w:rPr>
          <w:rFonts w:ascii="Arial" w:hAnsi="Arial" w:cs="Arial"/>
          <w:color w:val="333333"/>
        </w:rPr>
        <w:t>According to the U.S. Energy Information Administration’s (EIA) </w:t>
      </w:r>
      <w:hyperlink r:id="rId10" w:history="1">
        <w:r>
          <w:rPr>
            <w:rStyle w:val="Emphasis"/>
            <w:rFonts w:ascii="Arial" w:hAnsi="Arial" w:cs="Arial"/>
            <w:color w:val="0096D7"/>
          </w:rPr>
          <w:t>International Energy Outlook 2019</w:t>
        </w:r>
      </w:hyperlink>
      <w:r>
        <w:rPr>
          <w:rFonts w:ascii="Arial" w:hAnsi="Arial" w:cs="Arial"/>
          <w:color w:val="333333"/>
        </w:rPr>
        <w:t> (IEO2019), the global supply of crude oil, other liquid hydrocarbons, and biofuels is expected to be adequate to meet the world's demand for liquid fuels through 2050. There is substantial uncertainty about the levels of future liquid fuels supply and demand. EIA reflects some of this uncertainty by developing a Reference case, High and Low Economic Growth cases, and High and Low Oil Price cases in its projections. The oil resources currently in the earth's crust, in combination with expected production of other liquid fuels, are estimated to be sufficient to meet total world demand for liquid fuels in all cases of the IEO2019.</w:t>
      </w:r>
    </w:p>
    <w:p w14:paraId="79C05E76" w14:textId="62A257B1" w:rsidR="003F3789" w:rsidRDefault="005B4ABC" w:rsidP="003F3789">
      <w:pPr>
        <w:pStyle w:val="NormalWeb"/>
        <w:shd w:val="clear" w:color="auto" w:fill="FFFFFF"/>
        <w:spacing w:before="0" w:beforeAutospacing="0" w:after="240" w:afterAutospacing="0"/>
        <w:rPr>
          <w:rFonts w:ascii="Arial" w:hAnsi="Arial" w:cs="Arial"/>
          <w:color w:val="333333"/>
        </w:rPr>
      </w:pPr>
      <w:hyperlink r:id="rId11" w:history="1">
        <w:r w:rsidRPr="00BF7266">
          <w:rPr>
            <w:rStyle w:val="Hyperlink"/>
            <w:rFonts w:ascii="Arial" w:hAnsi="Arial" w:cs="Arial"/>
          </w:rPr>
          <w:t>https://www.eia.gov/tools/faqs/faq.php?id=38&amp;t=6</w:t>
        </w:r>
      </w:hyperlink>
    </w:p>
    <w:p w14:paraId="021AC20D" w14:textId="77777777" w:rsidR="005B4ABC" w:rsidRDefault="005B4ABC" w:rsidP="003F3789">
      <w:pPr>
        <w:pStyle w:val="NormalWeb"/>
        <w:shd w:val="clear" w:color="auto" w:fill="FFFFFF"/>
        <w:spacing w:before="0" w:beforeAutospacing="0" w:after="240" w:afterAutospacing="0"/>
        <w:rPr>
          <w:rFonts w:ascii="Arial" w:hAnsi="Arial" w:cs="Arial"/>
          <w:color w:val="333333"/>
        </w:rPr>
      </w:pPr>
    </w:p>
    <w:p w14:paraId="0FF892AA" w14:textId="77777777" w:rsidR="003F3789" w:rsidRDefault="003F3789" w:rsidP="00BB6842">
      <w:pPr>
        <w:pStyle w:val="NormalWeb"/>
        <w:shd w:val="clear" w:color="auto" w:fill="FFFFFF"/>
        <w:spacing w:before="0" w:beforeAutospacing="0" w:after="240" w:afterAutospacing="0"/>
        <w:rPr>
          <w:rFonts w:ascii="Arial" w:hAnsi="Arial" w:cs="Arial"/>
          <w:color w:val="333333"/>
        </w:rPr>
      </w:pPr>
    </w:p>
    <w:p w14:paraId="60EF8A49" w14:textId="65192949" w:rsidR="00A42E00" w:rsidRDefault="00A42E00"/>
    <w:p w14:paraId="1151C158" w14:textId="7C4E9020" w:rsidR="00A42E00" w:rsidRDefault="00A42E00">
      <w:r>
        <w:rPr>
          <w:noProof/>
        </w:rPr>
        <w:lastRenderedPageBreak/>
        <w:drawing>
          <wp:inline distT="0" distB="0" distL="0" distR="0" wp14:anchorId="33BF6CF7" wp14:editId="00AC46E8">
            <wp:extent cx="3905250" cy="4819650"/>
            <wp:effectExtent l="0" t="0" r="0" b="0"/>
            <wp:docPr id="1" name="Picture 1" descr="graphic illustration of a barrel to show the major products that are produced from refining a barrel of crude o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aphic illustration of a barrel to show the major products that are produced from refining a barrel of crude oil"/>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05250" cy="4819650"/>
                    </a:xfrm>
                    <a:prstGeom prst="rect">
                      <a:avLst/>
                    </a:prstGeom>
                    <a:noFill/>
                    <a:ln>
                      <a:noFill/>
                    </a:ln>
                  </pic:spPr>
                </pic:pic>
              </a:graphicData>
            </a:graphic>
          </wp:inline>
        </w:drawing>
      </w:r>
    </w:p>
    <w:p w14:paraId="6CFC0F50" w14:textId="1CE45B4A" w:rsidR="009A0BCA" w:rsidRDefault="009A0BCA"/>
    <w:p w14:paraId="7F8ED6A8" w14:textId="447152CB" w:rsidR="009A0BCA" w:rsidRDefault="009A0BCA">
      <w:r>
        <w:rPr>
          <w:noProof/>
        </w:rPr>
        <w:lastRenderedPageBreak/>
        <w:drawing>
          <wp:inline distT="0" distB="0" distL="0" distR="0" wp14:anchorId="4A8200DD" wp14:editId="7867E89C">
            <wp:extent cx="5734050" cy="4638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4050" cy="4638675"/>
                    </a:xfrm>
                    <a:prstGeom prst="rect">
                      <a:avLst/>
                    </a:prstGeom>
                  </pic:spPr>
                </pic:pic>
              </a:graphicData>
            </a:graphic>
          </wp:inline>
        </w:drawing>
      </w:r>
    </w:p>
    <w:sectPr w:rsidR="009A0B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611"/>
    <w:rsid w:val="00337DE5"/>
    <w:rsid w:val="00357B69"/>
    <w:rsid w:val="003F3789"/>
    <w:rsid w:val="005B4ABC"/>
    <w:rsid w:val="00744611"/>
    <w:rsid w:val="009A0BCA"/>
    <w:rsid w:val="00A42E00"/>
    <w:rsid w:val="00B2368C"/>
    <w:rsid w:val="00BB6842"/>
    <w:rsid w:val="00D6426B"/>
    <w:rsid w:val="00F17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F22B8"/>
  <w15:chartTrackingRefBased/>
  <w15:docId w15:val="{19096A60-B4F3-429F-8F67-2ACA0C24BF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17D9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7DE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37DE5"/>
    <w:rPr>
      <w:color w:val="0000FF"/>
      <w:u w:val="single"/>
    </w:rPr>
  </w:style>
  <w:style w:type="character" w:customStyle="1" w:styleId="Heading1Char">
    <w:name w:val="Heading 1 Char"/>
    <w:basedOn w:val="DefaultParagraphFont"/>
    <w:link w:val="Heading1"/>
    <w:uiPriority w:val="9"/>
    <w:rsid w:val="00F17D92"/>
    <w:rPr>
      <w:rFonts w:ascii="Times New Roman" w:eastAsia="Times New Roman" w:hAnsi="Times New Roman" w:cs="Times New Roman"/>
      <w:b/>
      <w:bCs/>
      <w:kern w:val="36"/>
      <w:sz w:val="48"/>
      <w:szCs w:val="48"/>
    </w:rPr>
  </w:style>
  <w:style w:type="character" w:styleId="UnresolvedMention">
    <w:name w:val="Unresolved Mention"/>
    <w:basedOn w:val="DefaultParagraphFont"/>
    <w:uiPriority w:val="99"/>
    <w:semiHidden/>
    <w:unhideWhenUsed/>
    <w:rsid w:val="00A42E00"/>
    <w:rPr>
      <w:color w:val="605E5C"/>
      <w:shd w:val="clear" w:color="auto" w:fill="E1DFDD"/>
    </w:rPr>
  </w:style>
  <w:style w:type="character" w:styleId="Emphasis">
    <w:name w:val="Emphasis"/>
    <w:basedOn w:val="DefaultParagraphFont"/>
    <w:uiPriority w:val="20"/>
    <w:qFormat/>
    <w:rsid w:val="00B2368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590513">
      <w:bodyDiv w:val="1"/>
      <w:marLeft w:val="0"/>
      <w:marRight w:val="0"/>
      <w:marTop w:val="0"/>
      <w:marBottom w:val="0"/>
      <w:divBdr>
        <w:top w:val="none" w:sz="0" w:space="0" w:color="auto"/>
        <w:left w:val="none" w:sz="0" w:space="0" w:color="auto"/>
        <w:bottom w:val="none" w:sz="0" w:space="0" w:color="auto"/>
        <w:right w:val="none" w:sz="0" w:space="0" w:color="auto"/>
      </w:divBdr>
    </w:div>
    <w:div w:id="153571555">
      <w:bodyDiv w:val="1"/>
      <w:marLeft w:val="0"/>
      <w:marRight w:val="0"/>
      <w:marTop w:val="0"/>
      <w:marBottom w:val="0"/>
      <w:divBdr>
        <w:top w:val="none" w:sz="0" w:space="0" w:color="auto"/>
        <w:left w:val="none" w:sz="0" w:space="0" w:color="auto"/>
        <w:bottom w:val="none" w:sz="0" w:space="0" w:color="auto"/>
        <w:right w:val="none" w:sz="0" w:space="0" w:color="auto"/>
      </w:divBdr>
    </w:div>
    <w:div w:id="381832163">
      <w:bodyDiv w:val="1"/>
      <w:marLeft w:val="0"/>
      <w:marRight w:val="0"/>
      <w:marTop w:val="0"/>
      <w:marBottom w:val="0"/>
      <w:divBdr>
        <w:top w:val="none" w:sz="0" w:space="0" w:color="auto"/>
        <w:left w:val="none" w:sz="0" w:space="0" w:color="auto"/>
        <w:bottom w:val="none" w:sz="0" w:space="0" w:color="auto"/>
        <w:right w:val="none" w:sz="0" w:space="0" w:color="auto"/>
      </w:divBdr>
    </w:div>
    <w:div w:id="1864435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ia.gov/tools/glossary/index.php?id=Product%20supplied" TargetMode="External"/><Relationship Id="rId13"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hyperlink" Target="https://www.eia.gov/totalenergy/data/browser/index.php?tbl=T03.03A" TargetMode="External"/><Relationship Id="rId12"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ia.gov/totalenergy/data/browser/index.php?tbl=T03.03A" TargetMode="External"/><Relationship Id="rId11" Type="http://schemas.openxmlformats.org/officeDocument/2006/relationships/hyperlink" Target="https://www.eia.gov/tools/faqs/faq.php?id=38&amp;t=6" TargetMode="External"/><Relationship Id="rId5" Type="http://schemas.openxmlformats.org/officeDocument/2006/relationships/hyperlink" Target="https://www.eia.gov/tools/faqs/faq.php?id=327&amp;t=6" TargetMode="External"/><Relationship Id="rId15" Type="http://schemas.openxmlformats.org/officeDocument/2006/relationships/theme" Target="theme/theme1.xml"/><Relationship Id="rId10" Type="http://schemas.openxmlformats.org/officeDocument/2006/relationships/hyperlink" Target="https://www.eia.gov/outlooks/archive/ieo19/" TargetMode="External"/><Relationship Id="rId4" Type="http://schemas.openxmlformats.org/officeDocument/2006/relationships/hyperlink" Target="https://www.eia.gov/dnav/pet/pet_cons_prim_a_EPM0_P00_Mgalpd_a.htm" TargetMode="External"/><Relationship Id="rId9" Type="http://schemas.openxmlformats.org/officeDocument/2006/relationships/hyperlink" Target="https://www.eia.gov/tools/faqs/faq.php?id=32&amp;t=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4</Pages>
  <Words>502</Words>
  <Characters>2862</Characters>
  <Application>Microsoft Office Word</Application>
  <DocSecurity>0</DocSecurity>
  <Lines>23</Lines>
  <Paragraphs>6</Paragraphs>
  <ScaleCrop>false</ScaleCrop>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shaestringer@gmail.com</dc:creator>
  <cp:keywords/>
  <dc:description/>
  <cp:lastModifiedBy>shaestringer@gmail.com</cp:lastModifiedBy>
  <cp:revision>10</cp:revision>
  <dcterms:created xsi:type="dcterms:W3CDTF">2021-04-24T21:25:00Z</dcterms:created>
  <dcterms:modified xsi:type="dcterms:W3CDTF">2021-04-24T22:08:00Z</dcterms:modified>
</cp:coreProperties>
</file>