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40F" w:rsidRDefault="00286AE6" w:rsidP="00DF7EF1">
      <w:pPr>
        <w:tabs>
          <w:tab w:val="right" w:pos="10846"/>
        </w:tabs>
        <w:rPr>
          <w:rFonts w:ascii="Verdana" w:hAnsi="Verdana"/>
          <w:b/>
          <w:color w:val="002868"/>
          <w:sz w:val="40"/>
          <w:szCs w:val="40"/>
        </w:rPr>
      </w:pPr>
      <w:r w:rsidRPr="00286AE6">
        <w:pict>
          <v:shapetype id="_x0000_t202" coordsize="21600,21600" o:spt="202" path="m,l,21600r21600,l21600,xe">
            <v:stroke joinstyle="miter"/>
            <v:path gradientshapeok="t" o:connecttype="rect"/>
          </v:shapetype>
          <v:shape id="_x0000_s1086" type="#_x0000_t202" style="position:absolute;margin-left:457.4pt;margin-top:15.5pt;width:102.85pt;height:31.75pt;z-index:251657216" filled="f" stroked="f">
            <v:textbox>
              <w:txbxContent>
                <w:p w:rsidR="00036593" w:rsidRDefault="00036593" w:rsidP="00036593">
                  <w:pPr>
                    <w:rPr>
                      <w:rFonts w:ascii="Verdana" w:hAnsi="Verdana"/>
                      <w:sz w:val="18"/>
                      <w:szCs w:val="18"/>
                    </w:rPr>
                  </w:pPr>
                  <w:r>
                    <w:rPr>
                      <w:rFonts w:ascii="Verdana" w:hAnsi="Verdana"/>
                      <w:b/>
                      <w:sz w:val="18"/>
                      <w:szCs w:val="18"/>
                    </w:rPr>
                    <w:t xml:space="preserve">  Market Event</w:t>
                  </w:r>
                </w:p>
              </w:txbxContent>
            </v:textbox>
          </v:shape>
        </w:pict>
      </w:r>
      <w:r w:rsidRPr="00286AE6">
        <w:pict>
          <v:oval id="_x0000_s1085" style="position:absolute;margin-left:485.45pt;margin-top:-9.9pt;width:28.05pt;height:25.4pt;z-index:251658240" fillcolor="#1b256b" strokecolor="#669" strokeweight=".25pt">
            <v:fill color2="fill lighten(154)" rotate="t" focusposition=".5,.5" focussize="" method="linear sigma" type="gradientRadial"/>
            <v:textbox>
              <w:txbxContent>
                <w:p w:rsidR="00036593" w:rsidRDefault="00036593" w:rsidP="00036593">
                  <w:pPr>
                    <w:rPr>
                      <w:color w:val="FF9900"/>
                    </w:rPr>
                  </w:pPr>
                </w:p>
              </w:txbxContent>
            </v:textbox>
          </v:oval>
        </w:pict>
      </w:r>
      <w:r w:rsidR="00381368" w:rsidRPr="002D0106">
        <w:rPr>
          <w:rFonts w:ascii="Verdana" w:hAnsi="Verdana"/>
          <w:b/>
          <w:color w:val="002868"/>
          <w:sz w:val="52"/>
          <w:szCs w:val="52"/>
        </w:rPr>
        <w:t xml:space="preserve">IMS </w:t>
      </w:r>
      <w:r w:rsidR="009616F2">
        <w:rPr>
          <w:rFonts w:ascii="Verdana" w:hAnsi="Verdana"/>
          <w:b/>
          <w:color w:val="002868"/>
          <w:sz w:val="52"/>
          <w:szCs w:val="52"/>
        </w:rPr>
        <w:t>Product News</w:t>
      </w:r>
      <w:r w:rsidR="00C44B68">
        <w:rPr>
          <w:rFonts w:ascii="Verdana" w:hAnsi="Verdana"/>
          <w:b/>
          <w:color w:val="002868"/>
          <w:sz w:val="40"/>
          <w:szCs w:val="40"/>
        </w:rPr>
        <w:tab/>
      </w:r>
      <w:r w:rsidR="00381368">
        <w:rPr>
          <w:rFonts w:ascii="Verdana" w:hAnsi="Verdana"/>
          <w:b/>
          <w:color w:val="002868"/>
          <w:sz w:val="40"/>
          <w:szCs w:val="40"/>
        </w:rPr>
        <w:tab/>
      </w:r>
    </w:p>
    <w:tbl>
      <w:tblPr>
        <w:tblW w:w="0" w:type="auto"/>
        <w:tblInd w:w="115" w:type="dxa"/>
        <w:tblBorders>
          <w:top w:val="single" w:sz="8" w:space="0" w:color="00AEEF"/>
          <w:bottom w:val="single" w:sz="8" w:space="0" w:color="00AEEF"/>
        </w:tblBorders>
        <w:shd w:val="clear" w:color="auto" w:fill="F7F2DB"/>
        <w:tblLayout w:type="fixed"/>
        <w:tblLook w:val="01E0"/>
      </w:tblPr>
      <w:tblGrid>
        <w:gridCol w:w="1541"/>
        <w:gridCol w:w="3816"/>
        <w:gridCol w:w="1656"/>
        <w:gridCol w:w="3816"/>
      </w:tblGrid>
      <w:tr w:rsidR="0027461A" w:rsidRPr="008629D7" w:rsidTr="00A942D0">
        <w:trPr>
          <w:trHeight w:val="360"/>
        </w:trPr>
        <w:tc>
          <w:tcPr>
            <w:tcW w:w="1541" w:type="dxa"/>
            <w:shd w:val="clear" w:color="auto" w:fill="F7F2DB"/>
            <w:tcMar>
              <w:top w:w="144" w:type="dxa"/>
              <w:left w:w="115" w:type="dxa"/>
              <w:right w:w="115" w:type="dxa"/>
            </w:tcMar>
          </w:tcPr>
          <w:p w:rsidR="0027461A" w:rsidRPr="008629D7" w:rsidRDefault="0027461A" w:rsidP="00A942D0">
            <w:pPr>
              <w:spacing w:after="120" w:line="280" w:lineRule="exact"/>
              <w:rPr>
                <w:rFonts w:ascii="Verdana" w:hAnsi="Verdana"/>
                <w:b/>
                <w:color w:val="002868"/>
                <w:sz w:val="20"/>
                <w:szCs w:val="20"/>
              </w:rPr>
            </w:pPr>
            <w:r w:rsidRPr="008629D7">
              <w:rPr>
                <w:rFonts w:ascii="Verdana" w:hAnsi="Verdana"/>
                <w:b/>
                <w:color w:val="002868"/>
                <w:sz w:val="20"/>
                <w:szCs w:val="20"/>
              </w:rPr>
              <w:t>Date:</w:t>
            </w:r>
          </w:p>
        </w:tc>
        <w:tc>
          <w:tcPr>
            <w:tcW w:w="3816" w:type="dxa"/>
            <w:shd w:val="clear" w:color="auto" w:fill="F7F2DB"/>
            <w:tcMar>
              <w:top w:w="144" w:type="dxa"/>
              <w:left w:w="115" w:type="dxa"/>
              <w:right w:w="115" w:type="dxa"/>
            </w:tcMar>
          </w:tcPr>
          <w:p w:rsidR="0027461A" w:rsidRPr="008629D7" w:rsidRDefault="00204D90" w:rsidP="00204D90">
            <w:pPr>
              <w:spacing w:after="120" w:line="280" w:lineRule="exact"/>
              <w:rPr>
                <w:rFonts w:ascii="Verdana" w:hAnsi="Verdana"/>
                <w:color w:val="002868"/>
                <w:sz w:val="20"/>
                <w:szCs w:val="20"/>
              </w:rPr>
            </w:pPr>
            <w:r>
              <w:rPr>
                <w:rFonts w:ascii="Verdana" w:hAnsi="Verdana"/>
                <w:color w:val="002868"/>
                <w:sz w:val="20"/>
                <w:szCs w:val="20"/>
              </w:rPr>
              <w:t>02/13/14</w:t>
            </w:r>
          </w:p>
        </w:tc>
        <w:tc>
          <w:tcPr>
            <w:tcW w:w="1656" w:type="dxa"/>
            <w:shd w:val="clear" w:color="auto" w:fill="F7F2DB"/>
            <w:tcMar>
              <w:top w:w="144" w:type="dxa"/>
              <w:left w:w="115" w:type="dxa"/>
              <w:right w:w="115" w:type="dxa"/>
            </w:tcMar>
          </w:tcPr>
          <w:p w:rsidR="0027461A" w:rsidRPr="008629D7" w:rsidRDefault="0027461A" w:rsidP="00A942D0">
            <w:pPr>
              <w:spacing w:after="120" w:line="280" w:lineRule="exact"/>
              <w:rPr>
                <w:rFonts w:ascii="Verdana" w:hAnsi="Verdana"/>
                <w:b/>
                <w:color w:val="002868"/>
                <w:sz w:val="20"/>
                <w:szCs w:val="20"/>
              </w:rPr>
            </w:pPr>
            <w:r w:rsidRPr="008629D7">
              <w:rPr>
                <w:rFonts w:ascii="Verdana" w:hAnsi="Verdana"/>
                <w:b/>
                <w:color w:val="002868"/>
                <w:sz w:val="20"/>
                <w:szCs w:val="20"/>
              </w:rPr>
              <w:t>ID:</w:t>
            </w:r>
          </w:p>
        </w:tc>
        <w:tc>
          <w:tcPr>
            <w:tcW w:w="3816" w:type="dxa"/>
            <w:shd w:val="clear" w:color="auto" w:fill="F7F2DB"/>
            <w:tcMar>
              <w:top w:w="144" w:type="dxa"/>
              <w:left w:w="115" w:type="dxa"/>
              <w:right w:w="115" w:type="dxa"/>
            </w:tcMar>
          </w:tcPr>
          <w:p w:rsidR="0027461A" w:rsidRPr="008629D7" w:rsidRDefault="0027461A" w:rsidP="0096312A">
            <w:pPr>
              <w:spacing w:after="120" w:line="280" w:lineRule="exact"/>
              <w:rPr>
                <w:rFonts w:ascii="Verdana" w:hAnsi="Verdana"/>
                <w:color w:val="002868"/>
                <w:sz w:val="20"/>
                <w:szCs w:val="20"/>
              </w:rPr>
            </w:pPr>
            <w:r>
              <w:rPr>
                <w:rFonts w:ascii="Verdana" w:hAnsi="Verdana"/>
                <w:color w:val="002868"/>
                <w:sz w:val="20"/>
                <w:szCs w:val="20"/>
              </w:rPr>
              <w:t xml:space="preserve">1311 </w:t>
            </w:r>
            <w:r w:rsidR="0096312A">
              <w:rPr>
                <w:rFonts w:ascii="Verdana" w:hAnsi="Verdana"/>
                <w:color w:val="002868"/>
                <w:sz w:val="20"/>
                <w:szCs w:val="20"/>
              </w:rPr>
              <w:t>005</w:t>
            </w:r>
            <w:r>
              <w:rPr>
                <w:rFonts w:ascii="Verdana" w:hAnsi="Verdana"/>
                <w:color w:val="002868"/>
                <w:sz w:val="20"/>
                <w:szCs w:val="20"/>
              </w:rPr>
              <w:t xml:space="preserve"> 0</w:t>
            </w:r>
            <w:r w:rsidR="00F32C3F">
              <w:rPr>
                <w:rFonts w:ascii="Verdana" w:hAnsi="Verdana"/>
                <w:color w:val="002868"/>
                <w:sz w:val="20"/>
                <w:szCs w:val="20"/>
              </w:rPr>
              <w:t>3</w:t>
            </w:r>
          </w:p>
        </w:tc>
      </w:tr>
      <w:tr w:rsidR="0027461A" w:rsidRPr="008629D7" w:rsidTr="00A942D0">
        <w:trPr>
          <w:trHeight w:val="612"/>
        </w:trPr>
        <w:tc>
          <w:tcPr>
            <w:tcW w:w="1541" w:type="dxa"/>
            <w:shd w:val="clear" w:color="auto" w:fill="F7F2DB"/>
          </w:tcPr>
          <w:p w:rsidR="0027461A" w:rsidRPr="008629D7" w:rsidRDefault="0027461A" w:rsidP="00A942D0">
            <w:pPr>
              <w:spacing w:after="120" w:line="280" w:lineRule="exact"/>
              <w:rPr>
                <w:rFonts w:ascii="Verdana" w:hAnsi="Verdana"/>
                <w:b/>
                <w:color w:val="002868"/>
                <w:sz w:val="20"/>
                <w:szCs w:val="20"/>
              </w:rPr>
            </w:pPr>
            <w:r w:rsidRPr="008629D7">
              <w:rPr>
                <w:rFonts w:ascii="Verdana" w:hAnsi="Verdana"/>
                <w:b/>
                <w:color w:val="002868"/>
                <w:sz w:val="20"/>
                <w:szCs w:val="20"/>
              </w:rPr>
              <w:t>Subject:</w:t>
            </w:r>
          </w:p>
        </w:tc>
        <w:tc>
          <w:tcPr>
            <w:tcW w:w="3816" w:type="dxa"/>
            <w:shd w:val="clear" w:color="auto" w:fill="F7F2DB"/>
          </w:tcPr>
          <w:p w:rsidR="0027461A" w:rsidRPr="008629D7" w:rsidRDefault="0027461A" w:rsidP="003E027F">
            <w:pPr>
              <w:spacing w:after="120" w:line="280" w:lineRule="exact"/>
              <w:rPr>
                <w:rFonts w:ascii="Verdana" w:hAnsi="Verdana"/>
                <w:color w:val="002868"/>
                <w:sz w:val="20"/>
                <w:szCs w:val="20"/>
              </w:rPr>
            </w:pPr>
            <w:r>
              <w:rPr>
                <w:rFonts w:ascii="Verdana" w:hAnsi="Verdana"/>
                <w:color w:val="002868"/>
                <w:sz w:val="20"/>
                <w:szCs w:val="20"/>
              </w:rPr>
              <w:t xml:space="preserve">Health Insurance Exchange </w:t>
            </w:r>
            <w:r w:rsidR="003E027F">
              <w:rPr>
                <w:rFonts w:ascii="Verdana" w:hAnsi="Verdana"/>
                <w:color w:val="002868"/>
                <w:sz w:val="20"/>
                <w:szCs w:val="20"/>
              </w:rPr>
              <w:t xml:space="preserve">– </w:t>
            </w:r>
            <w:r w:rsidR="00204D90">
              <w:rPr>
                <w:rFonts w:ascii="Verdana" w:hAnsi="Verdana"/>
                <w:color w:val="002868"/>
                <w:sz w:val="20"/>
                <w:szCs w:val="20"/>
              </w:rPr>
              <w:t>Update to HIX Plans &amp; Medicaid Expansion Update</w:t>
            </w:r>
          </w:p>
        </w:tc>
        <w:tc>
          <w:tcPr>
            <w:tcW w:w="1656" w:type="dxa"/>
            <w:shd w:val="clear" w:color="auto" w:fill="F7F2DB"/>
          </w:tcPr>
          <w:p w:rsidR="0027461A" w:rsidRPr="008629D7" w:rsidRDefault="0027461A" w:rsidP="00A942D0">
            <w:pPr>
              <w:spacing w:after="120" w:line="280" w:lineRule="exact"/>
              <w:rPr>
                <w:rFonts w:ascii="Verdana" w:hAnsi="Verdana"/>
                <w:b/>
                <w:color w:val="002868"/>
                <w:sz w:val="20"/>
                <w:szCs w:val="20"/>
              </w:rPr>
            </w:pPr>
            <w:r w:rsidRPr="008629D7">
              <w:rPr>
                <w:rFonts w:ascii="Verdana" w:hAnsi="Verdana"/>
                <w:b/>
                <w:color w:val="002868"/>
                <w:sz w:val="20"/>
                <w:szCs w:val="20"/>
              </w:rPr>
              <w:t xml:space="preserve">Offering: </w:t>
            </w:r>
          </w:p>
        </w:tc>
        <w:tc>
          <w:tcPr>
            <w:tcW w:w="3816" w:type="dxa"/>
            <w:shd w:val="clear" w:color="auto" w:fill="F7F2DB"/>
          </w:tcPr>
          <w:p w:rsidR="0027461A" w:rsidRPr="008629D7" w:rsidRDefault="0027461A" w:rsidP="00A942D0">
            <w:pPr>
              <w:spacing w:after="120" w:line="280" w:lineRule="exact"/>
              <w:rPr>
                <w:rFonts w:ascii="Verdana" w:hAnsi="Verdana"/>
                <w:color w:val="002868"/>
                <w:sz w:val="20"/>
                <w:szCs w:val="20"/>
              </w:rPr>
            </w:pPr>
            <w:r>
              <w:rPr>
                <w:rFonts w:ascii="Verdana" w:hAnsi="Verdana"/>
                <w:color w:val="002868"/>
                <w:sz w:val="20"/>
                <w:szCs w:val="20"/>
              </w:rPr>
              <w:t xml:space="preserve">Xponent </w:t>
            </w:r>
            <w:proofErr w:type="spellStart"/>
            <w:r>
              <w:rPr>
                <w:rFonts w:ascii="Verdana" w:hAnsi="Verdana"/>
                <w:color w:val="002868"/>
                <w:sz w:val="20"/>
                <w:szCs w:val="20"/>
              </w:rPr>
              <w:t>Plantrak</w:t>
            </w:r>
            <w:proofErr w:type="spellEnd"/>
            <w:r>
              <w:rPr>
                <w:rFonts w:ascii="Verdana" w:hAnsi="Verdana"/>
                <w:color w:val="002868"/>
                <w:sz w:val="20"/>
                <w:szCs w:val="20"/>
              </w:rPr>
              <w:t xml:space="preserve">, </w:t>
            </w:r>
            <w:proofErr w:type="spellStart"/>
            <w:r>
              <w:rPr>
                <w:rFonts w:ascii="Verdana" w:hAnsi="Verdana"/>
                <w:color w:val="002868"/>
                <w:sz w:val="20"/>
                <w:szCs w:val="20"/>
              </w:rPr>
              <w:t>Plantrak</w:t>
            </w:r>
            <w:proofErr w:type="spellEnd"/>
            <w:r>
              <w:rPr>
                <w:rFonts w:ascii="Verdana" w:hAnsi="Verdana"/>
                <w:color w:val="002868"/>
                <w:sz w:val="20"/>
                <w:szCs w:val="20"/>
              </w:rPr>
              <w:t xml:space="preserve">, </w:t>
            </w:r>
            <w:proofErr w:type="spellStart"/>
            <w:r>
              <w:rPr>
                <w:rFonts w:ascii="Verdana" w:hAnsi="Verdana"/>
                <w:color w:val="002868"/>
                <w:sz w:val="20"/>
                <w:szCs w:val="20"/>
              </w:rPr>
              <w:t>Plantrak</w:t>
            </w:r>
            <w:proofErr w:type="spellEnd"/>
            <w:r>
              <w:rPr>
                <w:rFonts w:ascii="Verdana" w:hAnsi="Verdana"/>
                <w:color w:val="002868"/>
                <w:sz w:val="20"/>
                <w:szCs w:val="20"/>
              </w:rPr>
              <w:t xml:space="preserve"> Co-Pay, FIA, </w:t>
            </w:r>
            <w:proofErr w:type="spellStart"/>
            <w:r>
              <w:rPr>
                <w:rFonts w:ascii="Verdana" w:hAnsi="Verdana"/>
                <w:color w:val="002868"/>
                <w:sz w:val="20"/>
                <w:szCs w:val="20"/>
              </w:rPr>
              <w:t>Plantrak</w:t>
            </w:r>
            <w:proofErr w:type="spellEnd"/>
            <w:r>
              <w:rPr>
                <w:rFonts w:ascii="Verdana" w:hAnsi="Verdana"/>
                <w:color w:val="002868"/>
                <w:sz w:val="20"/>
                <w:szCs w:val="20"/>
              </w:rPr>
              <w:t xml:space="preserve"> Market Dynamics, </w:t>
            </w:r>
            <w:r w:rsidR="0096312A">
              <w:rPr>
                <w:rFonts w:ascii="Verdana" w:hAnsi="Verdana"/>
                <w:color w:val="002868"/>
                <w:sz w:val="20"/>
                <w:szCs w:val="20"/>
              </w:rPr>
              <w:t xml:space="preserve">Xponent </w:t>
            </w:r>
            <w:proofErr w:type="spellStart"/>
            <w:r w:rsidR="0096312A">
              <w:rPr>
                <w:rFonts w:ascii="Verdana" w:hAnsi="Verdana"/>
                <w:color w:val="002868"/>
                <w:sz w:val="20"/>
                <w:szCs w:val="20"/>
              </w:rPr>
              <w:t>Plantrak</w:t>
            </w:r>
            <w:proofErr w:type="spellEnd"/>
            <w:r w:rsidR="0096312A">
              <w:rPr>
                <w:rFonts w:ascii="Verdana" w:hAnsi="Verdana"/>
                <w:color w:val="002868"/>
                <w:sz w:val="20"/>
                <w:szCs w:val="20"/>
              </w:rPr>
              <w:t xml:space="preserve"> Dynamics, </w:t>
            </w:r>
            <w:r>
              <w:rPr>
                <w:rFonts w:ascii="Verdana" w:hAnsi="Verdana"/>
                <w:color w:val="002868"/>
                <w:sz w:val="20"/>
                <w:szCs w:val="20"/>
              </w:rPr>
              <w:t>RXBD</w:t>
            </w:r>
            <w:r w:rsidR="00877144">
              <w:rPr>
                <w:rFonts w:ascii="Verdana" w:hAnsi="Verdana"/>
                <w:color w:val="002868"/>
                <w:sz w:val="20"/>
                <w:szCs w:val="20"/>
              </w:rPr>
              <w:t xml:space="preserve">, </w:t>
            </w:r>
            <w:proofErr w:type="spellStart"/>
            <w:r w:rsidR="00877144">
              <w:rPr>
                <w:rFonts w:ascii="Verdana" w:hAnsi="Verdana"/>
                <w:color w:val="002868"/>
                <w:sz w:val="20"/>
                <w:szCs w:val="20"/>
              </w:rPr>
              <w:t>PayerTrak</w:t>
            </w:r>
            <w:proofErr w:type="spellEnd"/>
          </w:p>
        </w:tc>
      </w:tr>
      <w:tr w:rsidR="0027461A" w:rsidRPr="008629D7" w:rsidTr="00A942D0">
        <w:trPr>
          <w:trHeight w:val="360"/>
        </w:trPr>
        <w:tc>
          <w:tcPr>
            <w:tcW w:w="1541" w:type="dxa"/>
            <w:shd w:val="clear" w:color="auto" w:fill="F7F2DB"/>
            <w:tcMar>
              <w:left w:w="115" w:type="dxa"/>
              <w:bottom w:w="144" w:type="dxa"/>
              <w:right w:w="115" w:type="dxa"/>
            </w:tcMar>
          </w:tcPr>
          <w:p w:rsidR="0027461A" w:rsidRPr="008629D7" w:rsidRDefault="0027461A" w:rsidP="00A942D0">
            <w:pPr>
              <w:spacing w:after="120" w:line="280" w:lineRule="exact"/>
              <w:rPr>
                <w:rFonts w:ascii="Verdana" w:hAnsi="Verdana"/>
                <w:b/>
                <w:color w:val="002868"/>
                <w:sz w:val="20"/>
                <w:szCs w:val="20"/>
              </w:rPr>
            </w:pPr>
            <w:r w:rsidRPr="008629D7">
              <w:rPr>
                <w:rFonts w:ascii="Verdana" w:hAnsi="Verdana"/>
                <w:b/>
                <w:color w:val="002868"/>
                <w:sz w:val="20"/>
                <w:szCs w:val="20"/>
              </w:rPr>
              <w:t>Market:</w:t>
            </w:r>
          </w:p>
        </w:tc>
        <w:tc>
          <w:tcPr>
            <w:tcW w:w="3816" w:type="dxa"/>
            <w:shd w:val="clear" w:color="auto" w:fill="F7F2DB"/>
            <w:tcMar>
              <w:left w:w="115" w:type="dxa"/>
              <w:bottom w:w="144" w:type="dxa"/>
              <w:right w:w="115" w:type="dxa"/>
            </w:tcMar>
          </w:tcPr>
          <w:p w:rsidR="0027461A" w:rsidRPr="008629D7" w:rsidRDefault="00204D90" w:rsidP="00A942D0">
            <w:pPr>
              <w:spacing w:after="120" w:line="280" w:lineRule="exact"/>
              <w:rPr>
                <w:rFonts w:ascii="Verdana" w:hAnsi="Verdana"/>
                <w:color w:val="002868"/>
                <w:sz w:val="20"/>
                <w:szCs w:val="20"/>
              </w:rPr>
            </w:pPr>
            <w:r>
              <w:rPr>
                <w:rFonts w:ascii="Verdana" w:hAnsi="Verdana"/>
                <w:color w:val="002868"/>
                <w:sz w:val="20"/>
                <w:szCs w:val="20"/>
              </w:rPr>
              <w:t>All</w:t>
            </w:r>
          </w:p>
        </w:tc>
        <w:tc>
          <w:tcPr>
            <w:tcW w:w="1656" w:type="dxa"/>
            <w:shd w:val="clear" w:color="auto" w:fill="F7F2DB"/>
            <w:tcMar>
              <w:left w:w="115" w:type="dxa"/>
              <w:bottom w:w="144" w:type="dxa"/>
              <w:right w:w="115" w:type="dxa"/>
            </w:tcMar>
          </w:tcPr>
          <w:p w:rsidR="0027461A" w:rsidRPr="008629D7" w:rsidRDefault="0027461A" w:rsidP="00A942D0">
            <w:pPr>
              <w:spacing w:after="120" w:line="280" w:lineRule="exact"/>
              <w:rPr>
                <w:rFonts w:ascii="Verdana" w:hAnsi="Verdana"/>
                <w:b/>
                <w:color w:val="002868"/>
                <w:sz w:val="20"/>
                <w:szCs w:val="20"/>
              </w:rPr>
            </w:pPr>
            <w:r w:rsidRPr="008629D7">
              <w:rPr>
                <w:rFonts w:ascii="Verdana" w:hAnsi="Verdana"/>
                <w:b/>
                <w:color w:val="002868"/>
                <w:sz w:val="20"/>
                <w:szCs w:val="20"/>
              </w:rPr>
              <w:t>Channel:</w:t>
            </w:r>
          </w:p>
        </w:tc>
        <w:tc>
          <w:tcPr>
            <w:tcW w:w="3816" w:type="dxa"/>
            <w:shd w:val="clear" w:color="auto" w:fill="F7F2DB"/>
            <w:tcMar>
              <w:left w:w="115" w:type="dxa"/>
              <w:bottom w:w="144" w:type="dxa"/>
              <w:right w:w="115" w:type="dxa"/>
            </w:tcMar>
          </w:tcPr>
          <w:p w:rsidR="0027461A" w:rsidRPr="004B4671" w:rsidRDefault="00A705DE" w:rsidP="00204D90">
            <w:pPr>
              <w:spacing w:after="120" w:line="280" w:lineRule="exact"/>
              <w:rPr>
                <w:rFonts w:ascii="Verdana" w:hAnsi="Verdana"/>
                <w:color w:val="002868"/>
                <w:sz w:val="20"/>
                <w:szCs w:val="20"/>
              </w:rPr>
            </w:pPr>
            <w:r>
              <w:rPr>
                <w:rFonts w:ascii="Verdana" w:hAnsi="Verdana"/>
                <w:color w:val="002868"/>
                <w:sz w:val="20"/>
                <w:szCs w:val="20"/>
              </w:rPr>
              <w:t>Retail</w:t>
            </w:r>
          </w:p>
        </w:tc>
      </w:tr>
    </w:tbl>
    <w:p w:rsidR="0027461A" w:rsidRDefault="0027461A">
      <w:pPr>
        <w:rPr>
          <w:rFonts w:ascii="Verdana" w:hAnsi="Verdana"/>
          <w:b/>
          <w:color w:val="002868"/>
          <w:sz w:val="20"/>
          <w:szCs w:val="20"/>
        </w:rPr>
      </w:pPr>
    </w:p>
    <w:p w:rsidR="00C75AC7" w:rsidRDefault="002908CC" w:rsidP="00013170">
      <w:pPr>
        <w:autoSpaceDE w:val="0"/>
        <w:autoSpaceDN w:val="0"/>
        <w:adjustRightInd w:val="0"/>
        <w:spacing w:line="280" w:lineRule="atLeast"/>
        <w:jc w:val="both"/>
        <w:rPr>
          <w:rFonts w:ascii="Verdana" w:hAnsi="Verdana" w:cs="Verdana-Bold"/>
          <w:b/>
          <w:bCs/>
          <w:color w:val="002868"/>
          <w:sz w:val="20"/>
          <w:szCs w:val="20"/>
        </w:rPr>
      </w:pPr>
      <w:r w:rsidRPr="002908CC">
        <w:rPr>
          <w:rFonts w:ascii="Verdana" w:hAnsi="Verdana" w:cs="Verdana-Bold"/>
          <w:b/>
          <w:bCs/>
          <w:color w:val="002868"/>
          <w:sz w:val="20"/>
          <w:szCs w:val="20"/>
        </w:rPr>
        <w:t>Summary</w:t>
      </w:r>
      <w:r w:rsidR="00C75AC7" w:rsidRPr="002908CC">
        <w:rPr>
          <w:rFonts w:ascii="Verdana" w:hAnsi="Verdana" w:cs="Verdana-Bold"/>
          <w:b/>
          <w:bCs/>
          <w:color w:val="002868"/>
          <w:sz w:val="20"/>
          <w:szCs w:val="20"/>
        </w:rPr>
        <w:t>:</w:t>
      </w:r>
    </w:p>
    <w:p w:rsidR="003E027F" w:rsidRPr="002908CC" w:rsidRDefault="00204D90" w:rsidP="003E027F">
      <w:pPr>
        <w:autoSpaceDE w:val="0"/>
        <w:autoSpaceDN w:val="0"/>
        <w:adjustRightInd w:val="0"/>
        <w:spacing w:line="280" w:lineRule="atLeast"/>
        <w:jc w:val="both"/>
        <w:rPr>
          <w:rFonts w:ascii="Verdana" w:hAnsi="Verdana" w:cs="Verdana-Bold"/>
          <w:b/>
          <w:bCs/>
          <w:color w:val="00009F"/>
          <w:sz w:val="20"/>
          <w:szCs w:val="20"/>
        </w:rPr>
      </w:pPr>
      <w:r>
        <w:rPr>
          <w:rFonts w:ascii="Verdana" w:hAnsi="Verdana" w:cs="Verdana-Bold"/>
          <w:b/>
          <w:bCs/>
          <w:sz w:val="20"/>
          <w:szCs w:val="20"/>
        </w:rPr>
        <w:t xml:space="preserve">Additional details are now available regarding the Health Insurance Exchange (HIX) Plans, as well as an update on Medicaid expansion.  </w:t>
      </w:r>
    </w:p>
    <w:p w:rsidR="003E027F" w:rsidRDefault="003E027F" w:rsidP="00013170">
      <w:pPr>
        <w:autoSpaceDE w:val="0"/>
        <w:autoSpaceDN w:val="0"/>
        <w:adjustRightInd w:val="0"/>
        <w:spacing w:line="280" w:lineRule="atLeast"/>
        <w:jc w:val="both"/>
        <w:rPr>
          <w:rFonts w:ascii="Verdana" w:hAnsi="Verdana" w:cs="Verdana-Bold"/>
          <w:b/>
          <w:bCs/>
          <w:color w:val="002868"/>
          <w:sz w:val="20"/>
          <w:szCs w:val="20"/>
        </w:rPr>
      </w:pPr>
    </w:p>
    <w:p w:rsidR="003E027F" w:rsidRDefault="003E027F" w:rsidP="003E027F">
      <w:pPr>
        <w:autoSpaceDE w:val="0"/>
        <w:autoSpaceDN w:val="0"/>
        <w:adjustRightInd w:val="0"/>
        <w:spacing w:line="280" w:lineRule="atLeast"/>
        <w:jc w:val="both"/>
        <w:rPr>
          <w:rFonts w:ascii="Verdana" w:hAnsi="Verdana" w:cs="Verdana-Bold"/>
          <w:b/>
          <w:bCs/>
          <w:color w:val="002868"/>
          <w:sz w:val="20"/>
          <w:szCs w:val="20"/>
        </w:rPr>
      </w:pPr>
      <w:r>
        <w:rPr>
          <w:rFonts w:ascii="Verdana" w:hAnsi="Verdana" w:cs="Verdana-Bold"/>
          <w:b/>
          <w:bCs/>
          <w:color w:val="002868"/>
          <w:sz w:val="20"/>
          <w:szCs w:val="20"/>
        </w:rPr>
        <w:t>Background:</w:t>
      </w:r>
    </w:p>
    <w:p w:rsidR="003E027F" w:rsidRDefault="00204D90" w:rsidP="00013170">
      <w:pPr>
        <w:autoSpaceDE w:val="0"/>
        <w:autoSpaceDN w:val="0"/>
        <w:adjustRightInd w:val="0"/>
        <w:spacing w:line="280" w:lineRule="atLeast"/>
        <w:jc w:val="both"/>
        <w:rPr>
          <w:rFonts w:ascii="Verdana" w:hAnsi="Verdana" w:cs="Verdana"/>
          <w:sz w:val="20"/>
          <w:szCs w:val="20"/>
        </w:rPr>
      </w:pPr>
      <w:r>
        <w:rPr>
          <w:rFonts w:ascii="Verdana" w:hAnsi="Verdana" w:cs="Verdana"/>
          <w:sz w:val="20"/>
          <w:szCs w:val="20"/>
        </w:rPr>
        <w:t xml:space="preserve">We previously communicated that IMS added new payers and plans representing the base structure of the Health Insurance Exchange (HIX) plan.  </w:t>
      </w:r>
      <w:r w:rsidR="003E027F">
        <w:rPr>
          <w:rFonts w:ascii="Verdana" w:hAnsi="Verdana" w:cs="Verdana"/>
          <w:sz w:val="20"/>
          <w:szCs w:val="20"/>
        </w:rPr>
        <w:t>Attached is the previous communication.</w:t>
      </w:r>
    </w:p>
    <w:bookmarkStart w:id="0" w:name="_MON_1453793901"/>
    <w:bookmarkEnd w:id="0"/>
    <w:p w:rsidR="003E027F" w:rsidRPr="003E027F" w:rsidRDefault="00204D90" w:rsidP="00013170">
      <w:pPr>
        <w:autoSpaceDE w:val="0"/>
        <w:autoSpaceDN w:val="0"/>
        <w:adjustRightInd w:val="0"/>
        <w:spacing w:line="280" w:lineRule="atLeast"/>
        <w:jc w:val="both"/>
        <w:rPr>
          <w:rFonts w:ascii="Verdana" w:hAnsi="Verdana" w:cs="Verdana"/>
          <w:sz w:val="20"/>
          <w:szCs w:val="20"/>
        </w:rPr>
      </w:pPr>
      <w:r w:rsidRPr="00471E0D">
        <w:rPr>
          <w:rFonts w:ascii="Verdana" w:hAnsi="Verdana" w:cs="Verdana"/>
          <w:sz w:val="20"/>
          <w:szCs w:val="20"/>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Word.Document.12" ShapeID="_x0000_i1025" DrawAspect="Icon" ObjectID="_1453804740" r:id="rId9">
            <o:FieldCodes>\s</o:FieldCodes>
          </o:OLEObject>
        </w:object>
      </w:r>
    </w:p>
    <w:p w:rsidR="00C65787" w:rsidRDefault="00C65787" w:rsidP="00EC6DEC">
      <w:pPr>
        <w:rPr>
          <w:rFonts w:ascii="Verdana" w:hAnsi="Verdana"/>
          <w:sz w:val="20"/>
          <w:szCs w:val="20"/>
        </w:rPr>
      </w:pPr>
    </w:p>
    <w:p w:rsidR="007E6FB9" w:rsidRDefault="00204D90" w:rsidP="00832298">
      <w:pPr>
        <w:autoSpaceDE w:val="0"/>
        <w:autoSpaceDN w:val="0"/>
        <w:adjustRightInd w:val="0"/>
        <w:spacing w:line="280" w:lineRule="atLeast"/>
        <w:jc w:val="both"/>
        <w:rPr>
          <w:rFonts w:ascii="Verdana" w:hAnsi="Verdana" w:cs="Verdana"/>
          <w:b/>
          <w:color w:val="002060"/>
          <w:sz w:val="20"/>
          <w:szCs w:val="20"/>
        </w:rPr>
      </w:pPr>
      <w:r>
        <w:rPr>
          <w:rFonts w:ascii="Verdana" w:hAnsi="Verdana" w:cs="Verdana"/>
          <w:b/>
          <w:color w:val="002060"/>
          <w:sz w:val="20"/>
          <w:szCs w:val="20"/>
        </w:rPr>
        <w:t>Updates</w:t>
      </w:r>
      <w:r w:rsidR="007E6FB9" w:rsidRPr="007E6FB9">
        <w:rPr>
          <w:rFonts w:ascii="Verdana" w:hAnsi="Verdana" w:cs="Verdana"/>
          <w:b/>
          <w:color w:val="002060"/>
          <w:sz w:val="20"/>
          <w:szCs w:val="20"/>
        </w:rPr>
        <w:t>:</w:t>
      </w:r>
    </w:p>
    <w:p w:rsidR="00204D90" w:rsidRDefault="00204D90" w:rsidP="00204D90">
      <w:pPr>
        <w:autoSpaceDE w:val="0"/>
        <w:autoSpaceDN w:val="0"/>
        <w:adjustRightInd w:val="0"/>
        <w:spacing w:line="280" w:lineRule="atLeast"/>
        <w:rPr>
          <w:rFonts w:ascii="Verdana" w:hAnsi="Verdana" w:cs="Verdana"/>
          <w:b/>
          <w:color w:val="000000"/>
          <w:sz w:val="20"/>
          <w:szCs w:val="20"/>
        </w:rPr>
      </w:pPr>
    </w:p>
    <w:p w:rsidR="00204D90" w:rsidRPr="00204D90" w:rsidRDefault="00204D90" w:rsidP="00204D90">
      <w:pPr>
        <w:autoSpaceDE w:val="0"/>
        <w:autoSpaceDN w:val="0"/>
        <w:adjustRightInd w:val="0"/>
        <w:spacing w:line="280" w:lineRule="atLeast"/>
        <w:rPr>
          <w:rFonts w:ascii="Verdana" w:hAnsi="Verdana" w:cs="Verdana"/>
          <w:b/>
          <w:color w:val="000000"/>
          <w:sz w:val="20"/>
          <w:szCs w:val="20"/>
          <w:u w:val="single"/>
        </w:rPr>
      </w:pPr>
      <w:r w:rsidRPr="00204D90">
        <w:rPr>
          <w:rFonts w:ascii="Verdana" w:hAnsi="Verdana" w:cs="Verdana"/>
          <w:b/>
          <w:color w:val="000000"/>
          <w:sz w:val="20"/>
          <w:szCs w:val="20"/>
          <w:u w:val="single"/>
        </w:rPr>
        <w:t>Health Insurance Exchange (HIX) Plans</w:t>
      </w:r>
    </w:p>
    <w:p w:rsidR="00204D90" w:rsidRDefault="00204D90" w:rsidP="00204D90">
      <w:pPr>
        <w:autoSpaceDE w:val="0"/>
        <w:autoSpaceDN w:val="0"/>
        <w:adjustRightInd w:val="0"/>
        <w:spacing w:line="280" w:lineRule="atLeast"/>
        <w:rPr>
          <w:rFonts w:ascii="Verdana" w:hAnsi="Verdana" w:cs="Verdana-Bold"/>
          <w:bCs/>
          <w:sz w:val="20"/>
          <w:szCs w:val="20"/>
        </w:rPr>
      </w:pPr>
      <w:r w:rsidRPr="00401CB5">
        <w:rPr>
          <w:rFonts w:ascii="Verdana" w:hAnsi="Verdana" w:cs="Verdana-Bold"/>
          <w:bCs/>
          <w:sz w:val="20"/>
          <w:szCs w:val="20"/>
        </w:rPr>
        <w:t>The early weeks of 2014 RX utilization</w:t>
      </w:r>
      <w:r w:rsidR="001748CD">
        <w:rPr>
          <w:rFonts w:ascii="Verdana" w:hAnsi="Verdana" w:cs="Verdana-Bold"/>
          <w:bCs/>
          <w:sz w:val="20"/>
          <w:szCs w:val="20"/>
        </w:rPr>
        <w:t xml:space="preserve"> </w:t>
      </w:r>
      <w:r w:rsidRPr="00401CB5">
        <w:rPr>
          <w:rFonts w:ascii="Verdana" w:hAnsi="Verdana" w:cs="Verdana-Bold"/>
          <w:bCs/>
          <w:sz w:val="20"/>
          <w:szCs w:val="20"/>
        </w:rPr>
        <w:t>highlight</w:t>
      </w:r>
      <w:r>
        <w:rPr>
          <w:rFonts w:ascii="Verdana" w:hAnsi="Verdana" w:cs="Verdana-Bold"/>
          <w:bCs/>
          <w:sz w:val="20"/>
          <w:szCs w:val="20"/>
        </w:rPr>
        <w:t xml:space="preserve"> </w:t>
      </w:r>
      <w:r w:rsidRPr="00401CB5">
        <w:rPr>
          <w:rFonts w:ascii="Verdana" w:hAnsi="Verdana" w:cs="Verdana-Bold"/>
          <w:bCs/>
          <w:sz w:val="20"/>
          <w:szCs w:val="20"/>
        </w:rPr>
        <w:t>that HIX volume is likely to be masked within existing commercial business.  As a reminder, this is an industry concern since the ACA legislation did not include a mandate for unique identifiers on Rx transactions like the Medicare D legislation.   The chart below provides a listing of the HIX Plan IDs that are tracking volume as of week ending 01/31/201</w:t>
      </w:r>
      <w:r w:rsidR="00611AF0">
        <w:rPr>
          <w:rFonts w:ascii="Verdana" w:hAnsi="Verdana" w:cs="Verdana-Bold"/>
          <w:bCs/>
          <w:sz w:val="20"/>
          <w:szCs w:val="20"/>
        </w:rPr>
        <w:t>4</w:t>
      </w:r>
      <w:r w:rsidRPr="00401CB5">
        <w:rPr>
          <w:rFonts w:ascii="Verdana" w:hAnsi="Verdana" w:cs="Verdana-Bold"/>
          <w:bCs/>
          <w:sz w:val="20"/>
          <w:szCs w:val="20"/>
        </w:rPr>
        <w:t xml:space="preserve">. </w:t>
      </w:r>
    </w:p>
    <w:p w:rsidR="00204D90" w:rsidRDefault="00204D90" w:rsidP="00204D90">
      <w:pPr>
        <w:autoSpaceDE w:val="0"/>
        <w:autoSpaceDN w:val="0"/>
        <w:adjustRightInd w:val="0"/>
        <w:spacing w:line="280" w:lineRule="atLeast"/>
        <w:rPr>
          <w:rFonts w:ascii="Verdana" w:hAnsi="Verdana" w:cs="Verdana-Bold"/>
          <w:bCs/>
          <w:sz w:val="20"/>
          <w:szCs w:val="20"/>
        </w:rPr>
      </w:pPr>
    </w:p>
    <w:p w:rsidR="00204D90" w:rsidRPr="00F9434B" w:rsidRDefault="00204D90" w:rsidP="00204D90">
      <w:pPr>
        <w:autoSpaceDE w:val="0"/>
        <w:autoSpaceDN w:val="0"/>
        <w:adjustRightInd w:val="0"/>
        <w:spacing w:line="280" w:lineRule="atLeast"/>
        <w:rPr>
          <w:rFonts w:ascii="Verdana" w:hAnsi="Verdana" w:cs="Verdana-Bold"/>
          <w:bCs/>
          <w:sz w:val="20"/>
          <w:szCs w:val="20"/>
        </w:rPr>
      </w:pPr>
      <w:r w:rsidRPr="00FB6828">
        <w:rPr>
          <w:rFonts w:ascii="Verdana" w:hAnsi="Verdana" w:cs="Verdana-Bold"/>
          <w:bCs/>
          <w:noProof/>
          <w:sz w:val="20"/>
          <w:szCs w:val="20"/>
        </w:rPr>
        <w:drawing>
          <wp:inline distT="0" distB="0" distL="0" distR="0">
            <wp:extent cx="4457700" cy="1914525"/>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457700" cy="1914525"/>
                    </a:xfrm>
                    <a:prstGeom prst="rect">
                      <a:avLst/>
                    </a:prstGeom>
                    <a:noFill/>
                    <a:ln w="9525">
                      <a:noFill/>
                      <a:miter lim="800000"/>
                      <a:headEnd/>
                      <a:tailEnd/>
                    </a:ln>
                  </pic:spPr>
                </pic:pic>
              </a:graphicData>
            </a:graphic>
          </wp:inline>
        </w:drawing>
      </w:r>
    </w:p>
    <w:p w:rsidR="00204D90" w:rsidRDefault="00204D90" w:rsidP="00204D90">
      <w:pPr>
        <w:autoSpaceDE w:val="0"/>
        <w:autoSpaceDN w:val="0"/>
        <w:adjustRightInd w:val="0"/>
        <w:spacing w:line="280" w:lineRule="atLeast"/>
        <w:rPr>
          <w:rFonts w:ascii="Verdana" w:hAnsi="Verdana" w:cs="Verdana-Bold"/>
          <w:bCs/>
          <w:sz w:val="20"/>
          <w:szCs w:val="20"/>
        </w:rPr>
      </w:pPr>
    </w:p>
    <w:p w:rsidR="00204D90" w:rsidRPr="00401CB5" w:rsidRDefault="00204D90" w:rsidP="00204D90">
      <w:pPr>
        <w:autoSpaceDE w:val="0"/>
        <w:autoSpaceDN w:val="0"/>
        <w:adjustRightInd w:val="0"/>
        <w:spacing w:line="280" w:lineRule="atLeast"/>
        <w:rPr>
          <w:rFonts w:ascii="Verdana" w:hAnsi="Verdana" w:cs="Verdana-Bold"/>
          <w:bCs/>
          <w:sz w:val="20"/>
          <w:szCs w:val="20"/>
        </w:rPr>
      </w:pPr>
      <w:r w:rsidRPr="00401CB5">
        <w:rPr>
          <w:rFonts w:ascii="Verdana" w:hAnsi="Verdana" w:cs="Verdana-Bold"/>
          <w:bCs/>
          <w:sz w:val="20"/>
          <w:szCs w:val="20"/>
        </w:rPr>
        <w:lastRenderedPageBreak/>
        <w:t>To fully assess the visibility into HIX utilization and provide guidance, IMS Health is performing analysis on the data received</w:t>
      </w:r>
      <w:r>
        <w:rPr>
          <w:rFonts w:ascii="Verdana" w:hAnsi="Verdana" w:cs="Verdana-Bold"/>
          <w:bCs/>
          <w:sz w:val="20"/>
          <w:szCs w:val="20"/>
        </w:rPr>
        <w:t xml:space="preserve">; however, at least </w:t>
      </w:r>
      <w:r w:rsidRPr="00401CB5">
        <w:rPr>
          <w:rFonts w:ascii="Verdana" w:hAnsi="Verdana" w:cs="Verdana-Bold"/>
          <w:bCs/>
          <w:sz w:val="20"/>
          <w:szCs w:val="20"/>
        </w:rPr>
        <w:t>several months of data will be required as input</w:t>
      </w:r>
      <w:r w:rsidR="004E2F9C">
        <w:rPr>
          <w:rFonts w:ascii="Verdana" w:hAnsi="Verdana" w:cs="Verdana-Bold"/>
          <w:bCs/>
          <w:sz w:val="20"/>
          <w:szCs w:val="20"/>
        </w:rPr>
        <w:t xml:space="preserve"> around this</w:t>
      </w:r>
      <w:r w:rsidR="004E2F9C" w:rsidRPr="00401CB5">
        <w:rPr>
          <w:rFonts w:ascii="Verdana" w:hAnsi="Verdana" w:cs="Verdana-Bold"/>
          <w:bCs/>
          <w:sz w:val="20"/>
          <w:szCs w:val="20"/>
        </w:rPr>
        <w:t xml:space="preserve"> major healthcare event</w:t>
      </w:r>
      <w:r w:rsidRPr="00401CB5">
        <w:rPr>
          <w:rFonts w:ascii="Verdana" w:hAnsi="Verdana" w:cs="Verdana-Bold"/>
          <w:bCs/>
          <w:sz w:val="20"/>
          <w:szCs w:val="20"/>
        </w:rPr>
        <w:t xml:space="preserve"> to allow for: </w:t>
      </w:r>
    </w:p>
    <w:p w:rsidR="00204D90" w:rsidRPr="00401CB5" w:rsidRDefault="00204D90" w:rsidP="00204D90">
      <w:pPr>
        <w:autoSpaceDE w:val="0"/>
        <w:autoSpaceDN w:val="0"/>
        <w:adjustRightInd w:val="0"/>
        <w:spacing w:line="280" w:lineRule="atLeast"/>
        <w:rPr>
          <w:rFonts w:ascii="Verdana" w:hAnsi="Verdana" w:cs="Verdana-Bold"/>
          <w:bCs/>
          <w:sz w:val="20"/>
          <w:szCs w:val="20"/>
        </w:rPr>
      </w:pPr>
    </w:p>
    <w:p w:rsidR="00204D90" w:rsidRPr="00401CB5" w:rsidRDefault="00204D90" w:rsidP="00204D90">
      <w:pPr>
        <w:pStyle w:val="ListParagraph"/>
        <w:numPr>
          <w:ilvl w:val="0"/>
          <w:numId w:val="3"/>
        </w:numPr>
        <w:autoSpaceDE w:val="0"/>
        <w:autoSpaceDN w:val="0"/>
        <w:adjustRightInd w:val="0"/>
        <w:spacing w:line="280" w:lineRule="atLeast"/>
        <w:contextualSpacing w:val="0"/>
        <w:rPr>
          <w:rFonts w:ascii="Verdana" w:hAnsi="Verdana" w:cs="Verdana-Bold"/>
          <w:bCs/>
          <w:sz w:val="20"/>
          <w:szCs w:val="20"/>
        </w:rPr>
      </w:pPr>
      <w:r w:rsidRPr="00401CB5">
        <w:rPr>
          <w:rFonts w:ascii="Verdana" w:hAnsi="Verdana" w:cs="Verdana-Bold"/>
          <w:bCs/>
          <w:sz w:val="20"/>
          <w:szCs w:val="20"/>
        </w:rPr>
        <w:t>Stabilization of industry utilization as customary each new year but compounded by a major industry event for 2014</w:t>
      </w:r>
    </w:p>
    <w:p w:rsidR="00204D90" w:rsidRPr="00401CB5" w:rsidRDefault="00204D90" w:rsidP="00204D90">
      <w:pPr>
        <w:pStyle w:val="ListParagraph"/>
        <w:numPr>
          <w:ilvl w:val="0"/>
          <w:numId w:val="3"/>
        </w:numPr>
        <w:autoSpaceDE w:val="0"/>
        <w:autoSpaceDN w:val="0"/>
        <w:adjustRightInd w:val="0"/>
        <w:spacing w:line="280" w:lineRule="atLeast"/>
        <w:contextualSpacing w:val="0"/>
        <w:rPr>
          <w:rFonts w:ascii="Verdana" w:hAnsi="Verdana" w:cs="Verdana-Bold"/>
          <w:bCs/>
          <w:sz w:val="20"/>
          <w:szCs w:val="20"/>
        </w:rPr>
      </w:pPr>
      <w:r w:rsidRPr="00401CB5">
        <w:rPr>
          <w:rFonts w:ascii="Verdana" w:hAnsi="Verdana" w:cs="Verdana-Bold"/>
          <w:bCs/>
          <w:sz w:val="20"/>
          <w:szCs w:val="20"/>
        </w:rPr>
        <w:t>Data mining and identification of additional unique HIX industry codes allowing for more granularity</w:t>
      </w:r>
    </w:p>
    <w:p w:rsidR="00204D90" w:rsidRPr="00401CB5" w:rsidRDefault="00204D90" w:rsidP="00204D90">
      <w:pPr>
        <w:pStyle w:val="ListParagraph"/>
        <w:numPr>
          <w:ilvl w:val="0"/>
          <w:numId w:val="3"/>
        </w:numPr>
        <w:autoSpaceDE w:val="0"/>
        <w:autoSpaceDN w:val="0"/>
        <w:adjustRightInd w:val="0"/>
        <w:spacing w:line="280" w:lineRule="atLeast"/>
        <w:contextualSpacing w:val="0"/>
        <w:rPr>
          <w:rFonts w:ascii="Verdana" w:hAnsi="Verdana" w:cs="Verdana-Bold"/>
          <w:bCs/>
          <w:sz w:val="20"/>
          <w:szCs w:val="20"/>
        </w:rPr>
      </w:pPr>
      <w:r w:rsidRPr="00401CB5">
        <w:rPr>
          <w:rFonts w:ascii="Verdana" w:hAnsi="Verdana" w:cs="Verdana-Bold"/>
          <w:bCs/>
          <w:sz w:val="20"/>
          <w:szCs w:val="20"/>
        </w:rPr>
        <w:t>Assessment of key HIX payers and HIX volume versus overall payer utilization</w:t>
      </w:r>
    </w:p>
    <w:p w:rsidR="00204D90" w:rsidRPr="00401CB5" w:rsidRDefault="00204D90" w:rsidP="00204D90">
      <w:pPr>
        <w:pStyle w:val="ListParagraph"/>
        <w:numPr>
          <w:ilvl w:val="0"/>
          <w:numId w:val="3"/>
        </w:numPr>
        <w:autoSpaceDE w:val="0"/>
        <w:autoSpaceDN w:val="0"/>
        <w:adjustRightInd w:val="0"/>
        <w:spacing w:line="280" w:lineRule="atLeast"/>
        <w:contextualSpacing w:val="0"/>
        <w:rPr>
          <w:rFonts w:ascii="Verdana" w:hAnsi="Verdana" w:cs="Verdana-Bold"/>
          <w:bCs/>
          <w:sz w:val="20"/>
          <w:szCs w:val="20"/>
        </w:rPr>
      </w:pPr>
      <w:r w:rsidRPr="00401CB5">
        <w:rPr>
          <w:rFonts w:ascii="Verdana" w:hAnsi="Verdana" w:cs="Verdana-Bold"/>
          <w:bCs/>
          <w:sz w:val="20"/>
          <w:szCs w:val="20"/>
        </w:rPr>
        <w:t>Collaboration with data suppliers for additi</w:t>
      </w:r>
      <w:r>
        <w:rPr>
          <w:rFonts w:ascii="Verdana" w:hAnsi="Verdana" w:cs="Verdana-Bold"/>
          <w:bCs/>
          <w:sz w:val="20"/>
          <w:szCs w:val="20"/>
        </w:rPr>
        <w:t xml:space="preserve">onal industry insights </w:t>
      </w:r>
      <w:r w:rsidRPr="00401CB5">
        <w:rPr>
          <w:rFonts w:ascii="Verdana" w:hAnsi="Verdana" w:cs="Verdana-Bold"/>
          <w:bCs/>
          <w:sz w:val="20"/>
          <w:szCs w:val="20"/>
        </w:rPr>
        <w:t xml:space="preserve">from point of service transactions  </w:t>
      </w:r>
    </w:p>
    <w:p w:rsidR="00204D90" w:rsidRDefault="00204D90" w:rsidP="00204D90">
      <w:pPr>
        <w:pStyle w:val="ListParagraph"/>
        <w:numPr>
          <w:ilvl w:val="0"/>
          <w:numId w:val="3"/>
        </w:numPr>
        <w:autoSpaceDE w:val="0"/>
        <w:autoSpaceDN w:val="0"/>
        <w:adjustRightInd w:val="0"/>
        <w:spacing w:line="280" w:lineRule="atLeast"/>
        <w:contextualSpacing w:val="0"/>
        <w:rPr>
          <w:rFonts w:ascii="Verdana" w:hAnsi="Verdana" w:cs="Verdana-Bold"/>
          <w:bCs/>
          <w:sz w:val="20"/>
          <w:szCs w:val="20"/>
        </w:rPr>
      </w:pPr>
      <w:r w:rsidRPr="00401CB5">
        <w:rPr>
          <w:rFonts w:ascii="Verdana" w:hAnsi="Verdana" w:cs="Verdana-Bold"/>
          <w:bCs/>
          <w:sz w:val="20"/>
          <w:szCs w:val="20"/>
        </w:rPr>
        <w:t>Correlation to enrollment numbers, if provided and substantiated as accurate</w:t>
      </w:r>
    </w:p>
    <w:p w:rsidR="00204D90" w:rsidRPr="00FB6828" w:rsidRDefault="00204D90" w:rsidP="00204D90">
      <w:pPr>
        <w:pStyle w:val="ListParagraph"/>
        <w:autoSpaceDE w:val="0"/>
        <w:autoSpaceDN w:val="0"/>
        <w:adjustRightInd w:val="0"/>
        <w:spacing w:line="280" w:lineRule="atLeast"/>
        <w:rPr>
          <w:rFonts w:ascii="Verdana" w:hAnsi="Verdana" w:cs="Verdana-Bold"/>
          <w:bCs/>
          <w:sz w:val="20"/>
          <w:szCs w:val="20"/>
        </w:rPr>
      </w:pPr>
    </w:p>
    <w:p w:rsidR="00204D90" w:rsidRDefault="00204D90" w:rsidP="00204D90">
      <w:pPr>
        <w:autoSpaceDE w:val="0"/>
        <w:autoSpaceDN w:val="0"/>
        <w:adjustRightInd w:val="0"/>
        <w:spacing w:line="280" w:lineRule="atLeast"/>
        <w:rPr>
          <w:rFonts w:ascii="Verdana" w:hAnsi="Verdana" w:cs="Verdana"/>
          <w:b/>
          <w:color w:val="000000"/>
          <w:sz w:val="20"/>
          <w:szCs w:val="20"/>
        </w:rPr>
      </w:pPr>
    </w:p>
    <w:p w:rsidR="00204D90" w:rsidRPr="00204D90" w:rsidRDefault="00204D90" w:rsidP="00204D90">
      <w:pPr>
        <w:autoSpaceDE w:val="0"/>
        <w:autoSpaceDN w:val="0"/>
        <w:adjustRightInd w:val="0"/>
        <w:spacing w:line="280" w:lineRule="atLeast"/>
        <w:rPr>
          <w:rFonts w:ascii="Verdana" w:hAnsi="Verdana" w:cs="Verdana"/>
          <w:b/>
          <w:color w:val="000000"/>
          <w:sz w:val="20"/>
          <w:szCs w:val="20"/>
          <w:u w:val="single"/>
        </w:rPr>
      </w:pPr>
      <w:r>
        <w:rPr>
          <w:rFonts w:ascii="Verdana" w:hAnsi="Verdana" w:cs="Verdana"/>
          <w:b/>
          <w:color w:val="000000"/>
          <w:sz w:val="20"/>
          <w:szCs w:val="20"/>
          <w:u w:val="single"/>
        </w:rPr>
        <w:t>Medicaid Expansion</w:t>
      </w:r>
    </w:p>
    <w:p w:rsidR="00204D90" w:rsidRDefault="00204D90" w:rsidP="00204D90">
      <w:pPr>
        <w:autoSpaceDE w:val="0"/>
        <w:autoSpaceDN w:val="0"/>
        <w:adjustRightInd w:val="0"/>
        <w:spacing w:line="280" w:lineRule="atLeast"/>
        <w:rPr>
          <w:rFonts w:ascii="Verdana" w:hAnsi="Verdana" w:cs="Verdana-Bold"/>
          <w:bCs/>
          <w:sz w:val="20"/>
          <w:szCs w:val="20"/>
        </w:rPr>
      </w:pPr>
      <w:r>
        <w:rPr>
          <w:rFonts w:ascii="Verdana" w:hAnsi="Verdana" w:cs="Verdana-Bold"/>
          <w:bCs/>
          <w:sz w:val="20"/>
          <w:szCs w:val="20"/>
        </w:rPr>
        <w:t xml:space="preserve">Overall Medicaid retail Rx utilization is experiencing an uptick starting in January 2014.  As expected, states that opted for Medicaid expansion are displaying a more significant uptick in Rx utilization most notably CA, KY, AZ, WV, OR, CO, OK and WA.  </w:t>
      </w:r>
    </w:p>
    <w:p w:rsidR="00204D90" w:rsidRDefault="00204D90" w:rsidP="00204D90">
      <w:pPr>
        <w:autoSpaceDE w:val="0"/>
        <w:autoSpaceDN w:val="0"/>
        <w:adjustRightInd w:val="0"/>
        <w:spacing w:line="280" w:lineRule="atLeast"/>
        <w:rPr>
          <w:rFonts w:ascii="Verdana" w:hAnsi="Verdana" w:cs="Verdana"/>
          <w:b/>
          <w:color w:val="000000"/>
          <w:sz w:val="20"/>
          <w:szCs w:val="20"/>
        </w:rPr>
      </w:pPr>
    </w:p>
    <w:p w:rsidR="003E027F" w:rsidRDefault="003E027F" w:rsidP="003E027F">
      <w:pPr>
        <w:autoSpaceDE w:val="0"/>
        <w:autoSpaceDN w:val="0"/>
        <w:adjustRightInd w:val="0"/>
        <w:spacing w:line="280" w:lineRule="atLeast"/>
        <w:jc w:val="both"/>
        <w:rPr>
          <w:rFonts w:ascii="Verdana" w:hAnsi="Verdana" w:cs="Verdana-Bold"/>
          <w:b/>
          <w:bCs/>
          <w:color w:val="002868"/>
          <w:sz w:val="20"/>
          <w:szCs w:val="20"/>
        </w:rPr>
      </w:pPr>
      <w:r w:rsidRPr="002908CC">
        <w:rPr>
          <w:rFonts w:ascii="Verdana" w:hAnsi="Verdana" w:cs="Verdana-Bold"/>
          <w:b/>
          <w:bCs/>
          <w:color w:val="002868"/>
          <w:sz w:val="20"/>
          <w:szCs w:val="20"/>
        </w:rPr>
        <w:t>Next Steps</w:t>
      </w:r>
      <w:r>
        <w:rPr>
          <w:rFonts w:ascii="Verdana" w:hAnsi="Verdana" w:cs="Verdana-Bold"/>
          <w:b/>
          <w:bCs/>
          <w:color w:val="002868"/>
          <w:sz w:val="20"/>
          <w:szCs w:val="20"/>
        </w:rPr>
        <w:t xml:space="preserve"> and Recommendations</w:t>
      </w:r>
      <w:r w:rsidRPr="002908CC">
        <w:rPr>
          <w:rFonts w:ascii="Verdana" w:hAnsi="Verdana" w:cs="Verdana-Bold"/>
          <w:b/>
          <w:bCs/>
          <w:color w:val="002868"/>
          <w:sz w:val="20"/>
          <w:szCs w:val="20"/>
        </w:rPr>
        <w:t>:</w:t>
      </w:r>
    </w:p>
    <w:p w:rsidR="00204D90" w:rsidRDefault="00204D90" w:rsidP="00204D90">
      <w:pPr>
        <w:autoSpaceDE w:val="0"/>
        <w:autoSpaceDN w:val="0"/>
        <w:adjustRightInd w:val="0"/>
        <w:spacing w:line="280" w:lineRule="atLeast"/>
        <w:rPr>
          <w:rFonts w:ascii="Verdana" w:hAnsi="Verdana" w:cs="Verdana-Bold"/>
          <w:bCs/>
          <w:sz w:val="20"/>
          <w:szCs w:val="20"/>
        </w:rPr>
      </w:pPr>
      <w:r>
        <w:rPr>
          <w:rFonts w:ascii="Verdana" w:hAnsi="Verdana" w:cs="Verdana-Bold"/>
          <w:bCs/>
          <w:sz w:val="20"/>
          <w:szCs w:val="20"/>
        </w:rPr>
        <w:t xml:space="preserve">More high level guidance will be provided on the topic of Medicaid expansion and HIX coverage as available.  </w:t>
      </w:r>
    </w:p>
    <w:p w:rsidR="003E027F" w:rsidRDefault="003E027F" w:rsidP="003E027F">
      <w:pPr>
        <w:autoSpaceDE w:val="0"/>
        <w:autoSpaceDN w:val="0"/>
        <w:adjustRightInd w:val="0"/>
        <w:spacing w:line="280" w:lineRule="atLeast"/>
        <w:jc w:val="both"/>
        <w:rPr>
          <w:rFonts w:ascii="Verdana" w:hAnsi="Verdana" w:cs="Verdana-Bold"/>
          <w:bCs/>
          <w:sz w:val="20"/>
          <w:szCs w:val="20"/>
        </w:rPr>
      </w:pPr>
    </w:p>
    <w:p w:rsidR="00C75AC7" w:rsidRPr="002908CC" w:rsidRDefault="00C75AC7" w:rsidP="00013170">
      <w:pPr>
        <w:autoSpaceDE w:val="0"/>
        <w:autoSpaceDN w:val="0"/>
        <w:adjustRightInd w:val="0"/>
        <w:spacing w:line="280" w:lineRule="atLeast"/>
        <w:jc w:val="both"/>
        <w:rPr>
          <w:rFonts w:ascii="Verdana" w:hAnsi="Verdana" w:cs="Verdana-Bold"/>
          <w:b/>
          <w:bCs/>
          <w:color w:val="002868"/>
          <w:sz w:val="20"/>
          <w:szCs w:val="20"/>
        </w:rPr>
      </w:pPr>
      <w:r w:rsidRPr="002908CC">
        <w:rPr>
          <w:rFonts w:ascii="Verdana" w:hAnsi="Verdana" w:cs="Verdana-Bold"/>
          <w:b/>
          <w:bCs/>
          <w:color w:val="002868"/>
          <w:sz w:val="20"/>
          <w:szCs w:val="20"/>
        </w:rPr>
        <w:t>Contact</w:t>
      </w:r>
      <w:r w:rsidR="00FF4FC0">
        <w:rPr>
          <w:rFonts w:ascii="Verdana" w:hAnsi="Verdana" w:cs="Verdana-Bold"/>
          <w:b/>
          <w:bCs/>
          <w:color w:val="002868"/>
          <w:sz w:val="20"/>
          <w:szCs w:val="20"/>
        </w:rPr>
        <w:t xml:space="preserve"> Information</w:t>
      </w:r>
      <w:r w:rsidRPr="002908CC">
        <w:rPr>
          <w:rFonts w:ascii="Verdana" w:hAnsi="Verdana" w:cs="Verdana-Bold"/>
          <w:b/>
          <w:bCs/>
          <w:color w:val="002868"/>
          <w:sz w:val="20"/>
          <w:szCs w:val="20"/>
        </w:rPr>
        <w:t>:</w:t>
      </w:r>
    </w:p>
    <w:p w:rsidR="00C75AC7" w:rsidRPr="0096312A" w:rsidRDefault="00960FDE" w:rsidP="0096312A">
      <w:pPr>
        <w:autoSpaceDE w:val="0"/>
        <w:autoSpaceDN w:val="0"/>
        <w:adjustRightInd w:val="0"/>
        <w:spacing w:after="180" w:line="280" w:lineRule="atLeast"/>
      </w:pPr>
      <w:r>
        <w:rPr>
          <w:rFonts w:ascii="Verdana" w:hAnsi="Verdana" w:cs="Verdana"/>
          <w:color w:val="000000"/>
          <w:sz w:val="20"/>
          <w:szCs w:val="20"/>
        </w:rPr>
        <w:t>Please contact your IMS Client Service team with any questions.</w:t>
      </w:r>
    </w:p>
    <w:sectPr w:rsidR="00C75AC7" w:rsidRPr="0096312A" w:rsidSect="0073575F">
      <w:headerReference w:type="default" r:id="rId11"/>
      <w:footerReference w:type="default" r:id="rId12"/>
      <w:headerReference w:type="first" r:id="rId13"/>
      <w:pgSz w:w="12240" w:h="15840" w:code="1"/>
      <w:pgMar w:top="720" w:right="720" w:bottom="720" w:left="720" w:header="720" w:footer="288" w:gutter="0"/>
      <w:paperSrc w:firs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6B11" w:rsidRDefault="00136B11">
      <w:r>
        <w:separator/>
      </w:r>
    </w:p>
  </w:endnote>
  <w:endnote w:type="continuationSeparator" w:id="0">
    <w:p w:rsidR="00136B11" w:rsidRDefault="00136B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Bold">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589F" w:rsidRDefault="00286AE6" w:rsidP="0076589F">
    <w:pPr>
      <w:autoSpaceDE w:val="0"/>
      <w:autoSpaceDN w:val="0"/>
      <w:adjustRightInd w:val="0"/>
      <w:rPr>
        <w:rFonts w:ascii="Verdana" w:hAnsi="Verdana"/>
        <w:color w:val="002868"/>
        <w:sz w:val="16"/>
        <w:szCs w:val="16"/>
      </w:rPr>
    </w:pPr>
    <w:r w:rsidRPr="00286AE6">
      <w:rPr>
        <w:rFonts w:ascii="Verdana" w:hAnsi="Verdana"/>
        <w:color w:val="00AEEF"/>
        <w:sz w:val="16"/>
        <w:szCs w:val="16"/>
      </w:rPr>
    </w:r>
    <w:r w:rsidRPr="00286AE6">
      <w:rPr>
        <w:rFonts w:ascii="Verdana" w:hAnsi="Verdana"/>
        <w:color w:val="00AEEF"/>
        <w:sz w:val="16"/>
        <w:szCs w:val="16"/>
      </w:rPr>
      <w:pict>
        <v:line id="_x0000_s2050" style="mso-left-percent:-10001;mso-top-percent:-10001;mso-position-horizontal:absolute;mso-position-horizontal-relative:char;mso-position-vertical:absolute;mso-position-vertical-relative:line;mso-left-percent:-10001;mso-top-percent:-10001" from="0,0" to="540pt,0" strokecolor="#00aeef" strokeweight=".25pt">
          <w10:wrap type="none"/>
          <w10:anchorlock/>
        </v:line>
      </w:pict>
    </w:r>
  </w:p>
  <w:p w:rsidR="0073575F" w:rsidRPr="00931331" w:rsidRDefault="00286AE6" w:rsidP="0073575F">
    <w:pPr>
      <w:rPr>
        <w:rFonts w:ascii="Verdana" w:hAnsi="Verdana"/>
        <w:i/>
        <w:iCs/>
        <w:sz w:val="16"/>
        <w:szCs w:val="16"/>
      </w:rPr>
    </w:pPr>
    <w:r w:rsidRPr="00286AE6">
      <w:rPr>
        <w:rFonts w:ascii="Verdana" w:hAnsi="Verdana"/>
        <w:color w:val="00AEEF"/>
        <w:sz w:val="16"/>
        <w:szCs w:val="16"/>
      </w:rPr>
    </w:r>
    <w:r w:rsidRPr="00286AE6">
      <w:rPr>
        <w:rFonts w:ascii="Verdana" w:hAnsi="Verdana"/>
        <w:color w:val="00AEEF"/>
        <w:sz w:val="16"/>
        <w:szCs w:val="16"/>
      </w:rPr>
      <w:pict>
        <v:line id="_x0000_s2049" style="mso-left-percent:-10001;mso-top-percent:-10001;mso-position-horizontal:absolute;mso-position-horizontal-relative:char;mso-position-vertical:absolute;mso-position-vertical-relative:line;mso-left-percent:-10001;mso-top-percent:-10001" from="0,0" to="540pt,0" strokecolor="#00aeef" strokeweight=".25pt">
          <w10:wrap type="none"/>
          <w10:anchorlock/>
        </v:line>
      </w:pict>
    </w:r>
    <w:r w:rsidR="0073575F" w:rsidRPr="00931331">
      <w:rPr>
        <w:rFonts w:ascii="Verdana" w:hAnsi="Verdana"/>
        <w:b/>
        <w:bCs/>
        <w:sz w:val="16"/>
        <w:szCs w:val="16"/>
      </w:rPr>
      <w:t xml:space="preserve">Confidential – For Client’s Internal Use Only </w:t>
    </w:r>
    <w:r w:rsidR="0073575F" w:rsidRPr="00931331">
      <w:rPr>
        <w:rFonts w:ascii="Verdana" w:hAnsi="Verdana"/>
        <w:i/>
        <w:iCs/>
        <w:sz w:val="16"/>
        <w:szCs w:val="16"/>
      </w:rPr>
      <w:t>“The data, information, and analysis contained in this document is proprietary to IMS and is IMS Confidential Information to be used and treated in accordance with the terms of the Information Services Agreement. Without limiting the foregoing, the data, information, and analysis in this document shall not be shared with any third party except as permitted under the ISA and shall only be used for Client’s internal direct benefit.”</w:t>
    </w:r>
  </w:p>
  <w:p w:rsidR="0073575F" w:rsidRPr="0076589F" w:rsidRDefault="0073575F" w:rsidP="0076589F">
    <w:pPr>
      <w:autoSpaceDE w:val="0"/>
      <w:autoSpaceDN w:val="0"/>
      <w:adjustRightInd w:val="0"/>
      <w:rPr>
        <w:rFonts w:ascii="Verdana" w:hAnsi="Verdana"/>
        <w:color w:val="00AEE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6B11" w:rsidRDefault="00136B11">
      <w:r>
        <w:separator/>
      </w:r>
    </w:p>
  </w:footnote>
  <w:footnote w:type="continuationSeparator" w:id="0">
    <w:p w:rsidR="00136B11" w:rsidRDefault="00136B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368" w:rsidRDefault="004F4862" w:rsidP="00877CD9">
    <w:pPr>
      <w:pStyle w:val="Header"/>
    </w:pPr>
    <w:r>
      <w:rPr>
        <w:noProof/>
      </w:rPr>
      <w:drawing>
        <wp:inline distT="0" distB="0" distL="0" distR="0">
          <wp:extent cx="6848475" cy="276225"/>
          <wp:effectExtent l="19050" t="0" r="9525" b="0"/>
          <wp:docPr id="3" name="Picture 3" descr="secondary hallm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ary hallmark1"/>
                  <pic:cNvPicPr>
                    <a:picLocks noChangeAspect="1" noChangeArrowheads="1"/>
                  </pic:cNvPicPr>
                </pic:nvPicPr>
                <pic:blipFill>
                  <a:blip r:embed="rId1"/>
                  <a:srcRect/>
                  <a:stretch>
                    <a:fillRect/>
                  </a:stretch>
                </pic:blipFill>
                <pic:spPr bwMode="auto">
                  <a:xfrm>
                    <a:off x="0" y="0"/>
                    <a:ext cx="6848475" cy="276225"/>
                  </a:xfrm>
                  <a:prstGeom prst="rect">
                    <a:avLst/>
                  </a:prstGeom>
                  <a:noFill/>
                  <a:ln w="9525">
                    <a:noFill/>
                    <a:miter lim="800000"/>
                    <a:headEnd/>
                    <a:tailEnd/>
                  </a:ln>
                </pic:spPr>
              </pic:pic>
            </a:graphicData>
          </a:graphic>
        </wp:inline>
      </w:drawing>
    </w:r>
  </w:p>
  <w:p w:rsidR="00381368" w:rsidRDefault="00381368" w:rsidP="00F124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368" w:rsidRDefault="004F4862" w:rsidP="00381368">
    <w:pPr>
      <w:pStyle w:val="Header"/>
    </w:pPr>
    <w:r>
      <w:rPr>
        <w:noProof/>
      </w:rPr>
      <w:drawing>
        <wp:inline distT="0" distB="0" distL="0" distR="0">
          <wp:extent cx="6848475" cy="523875"/>
          <wp:effectExtent l="19050" t="0" r="9525" b="0"/>
          <wp:docPr id="5" name="Picture 5" descr="hallmar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lmark4"/>
                  <pic:cNvPicPr>
                    <a:picLocks noChangeAspect="1" noChangeArrowheads="1"/>
                  </pic:cNvPicPr>
                </pic:nvPicPr>
                <pic:blipFill>
                  <a:blip r:embed="rId1"/>
                  <a:srcRect/>
                  <a:stretch>
                    <a:fillRect/>
                  </a:stretch>
                </pic:blipFill>
                <pic:spPr bwMode="auto">
                  <a:xfrm>
                    <a:off x="0" y="0"/>
                    <a:ext cx="6848475" cy="523875"/>
                  </a:xfrm>
                  <a:prstGeom prst="rect">
                    <a:avLst/>
                  </a:prstGeom>
                  <a:noFill/>
                  <a:ln w="9525">
                    <a:noFill/>
                    <a:miter lim="800000"/>
                    <a:headEnd/>
                    <a:tailEnd/>
                  </a:ln>
                </pic:spPr>
              </pic:pic>
            </a:graphicData>
          </a:graphic>
        </wp:inline>
      </w:drawing>
    </w:r>
  </w:p>
  <w:p w:rsidR="00381368" w:rsidRDefault="00381368" w:rsidP="00F1240F">
    <w:pPr>
      <w:pStyle w:val="Header"/>
      <w:ind w:left="-720"/>
    </w:pPr>
  </w:p>
  <w:p w:rsidR="00381368" w:rsidRDefault="00381368" w:rsidP="00F1240F">
    <w:pPr>
      <w:pStyle w:val="Header"/>
      <w:ind w:left="-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73CA7"/>
    <w:multiLevelType w:val="hybridMultilevel"/>
    <w:tmpl w:val="1736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87BB9"/>
    <w:multiLevelType w:val="hybridMultilevel"/>
    <w:tmpl w:val="2546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EB3E9E"/>
    <w:multiLevelType w:val="hybridMultilevel"/>
    <w:tmpl w:val="012AF534"/>
    <w:lvl w:ilvl="0" w:tplc="827E7B0E">
      <w:start w:val="1"/>
      <w:numFmt w:val="bullet"/>
      <w:lvlText w:val="•"/>
      <w:lvlJc w:val="left"/>
      <w:pPr>
        <w:tabs>
          <w:tab w:val="num" w:pos="720"/>
        </w:tabs>
        <w:ind w:left="720" w:hanging="360"/>
      </w:pPr>
      <w:rPr>
        <w:rFonts w:ascii="Verdana" w:hAnsi="Verdana" w:hint="default"/>
      </w:rPr>
    </w:lvl>
    <w:lvl w:ilvl="1" w:tplc="62C0C620">
      <w:start w:val="1"/>
      <w:numFmt w:val="decimal"/>
      <w:lvlText w:val="%2."/>
      <w:lvlJc w:val="left"/>
      <w:pPr>
        <w:tabs>
          <w:tab w:val="num" w:pos="1440"/>
        </w:tabs>
        <w:ind w:left="1440" w:hanging="360"/>
      </w:pPr>
    </w:lvl>
    <w:lvl w:ilvl="2" w:tplc="4732A354">
      <w:start w:val="1"/>
      <w:numFmt w:val="decimal"/>
      <w:lvlText w:val="%3."/>
      <w:lvlJc w:val="left"/>
      <w:pPr>
        <w:tabs>
          <w:tab w:val="num" w:pos="2160"/>
        </w:tabs>
        <w:ind w:left="2160" w:hanging="360"/>
      </w:pPr>
    </w:lvl>
    <w:lvl w:ilvl="3" w:tplc="4B320AEA">
      <w:start w:val="1"/>
      <w:numFmt w:val="decimal"/>
      <w:lvlText w:val="%4."/>
      <w:lvlJc w:val="left"/>
      <w:pPr>
        <w:tabs>
          <w:tab w:val="num" w:pos="2880"/>
        </w:tabs>
        <w:ind w:left="2880" w:hanging="360"/>
      </w:pPr>
    </w:lvl>
    <w:lvl w:ilvl="4" w:tplc="19F635FA">
      <w:start w:val="1"/>
      <w:numFmt w:val="decimal"/>
      <w:lvlText w:val="%5."/>
      <w:lvlJc w:val="left"/>
      <w:pPr>
        <w:tabs>
          <w:tab w:val="num" w:pos="3600"/>
        </w:tabs>
        <w:ind w:left="3600" w:hanging="360"/>
      </w:pPr>
    </w:lvl>
    <w:lvl w:ilvl="5" w:tplc="16FC19A6">
      <w:start w:val="1"/>
      <w:numFmt w:val="decimal"/>
      <w:lvlText w:val="%6."/>
      <w:lvlJc w:val="left"/>
      <w:pPr>
        <w:tabs>
          <w:tab w:val="num" w:pos="4320"/>
        </w:tabs>
        <w:ind w:left="4320" w:hanging="360"/>
      </w:pPr>
    </w:lvl>
    <w:lvl w:ilvl="6" w:tplc="5CA0D3C4">
      <w:start w:val="1"/>
      <w:numFmt w:val="decimal"/>
      <w:lvlText w:val="%7."/>
      <w:lvlJc w:val="left"/>
      <w:pPr>
        <w:tabs>
          <w:tab w:val="num" w:pos="5040"/>
        </w:tabs>
        <w:ind w:left="5040" w:hanging="360"/>
      </w:pPr>
    </w:lvl>
    <w:lvl w:ilvl="7" w:tplc="868E929E">
      <w:start w:val="1"/>
      <w:numFmt w:val="decimal"/>
      <w:lvlText w:val="%8."/>
      <w:lvlJc w:val="left"/>
      <w:pPr>
        <w:tabs>
          <w:tab w:val="num" w:pos="5760"/>
        </w:tabs>
        <w:ind w:left="5760" w:hanging="360"/>
      </w:pPr>
    </w:lvl>
    <w:lvl w:ilvl="8" w:tplc="65643DC4">
      <w:start w:val="1"/>
      <w:numFmt w:val="decimal"/>
      <w:lvlText w:val="%9."/>
      <w:lvlJc w:val="left"/>
      <w:pPr>
        <w:tabs>
          <w:tab w:val="num" w:pos="6480"/>
        </w:tabs>
        <w:ind w:left="6480" w:hanging="360"/>
      </w:p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rawingGridVerticalSpacing w:val="127"/>
  <w:displayHorizontalDrawingGridEvery w:val="2"/>
  <w:displayVerticalDrawingGridEvery w:val="2"/>
  <w:noPunctuationKerning/>
  <w:characterSpacingControl w:val="doNotCompress"/>
  <w:hdrShapeDefaults>
    <o:shapedefaults v:ext="edit" spidmax="2051" fillcolor="silver" strokecolor="silver">
      <v:fill color="silver" color2="fill darken(118)" rotate="t" focusposition=".5,.5" focussize="" method="linear sigma" focus="100%" type="gradientRadial"/>
      <v:stroke color="silver" weight=".5pt"/>
      <o:colormru v:ext="edit" colors="#c12c2c,#c09,#c30,#f93,#ff7537"/>
      <o:colormenu v:ext="edit" fillcolor="green" strokecolor="none" extrusioncolor="none"/>
    </o:shapedefaults>
    <o:shapelayout v:ext="edit">
      <o:idmap v:ext="edit" data="2"/>
    </o:shapelayout>
  </w:hdrShapeDefaults>
  <w:footnotePr>
    <w:footnote w:id="-1"/>
    <w:footnote w:id="0"/>
  </w:footnotePr>
  <w:endnotePr>
    <w:endnote w:id="-1"/>
    <w:endnote w:id="0"/>
  </w:endnotePr>
  <w:compat/>
  <w:rsids>
    <w:rsidRoot w:val="00F1240F"/>
    <w:rsid w:val="000033AB"/>
    <w:rsid w:val="00013170"/>
    <w:rsid w:val="0001535D"/>
    <w:rsid w:val="00020041"/>
    <w:rsid w:val="00036593"/>
    <w:rsid w:val="00050C4F"/>
    <w:rsid w:val="00081213"/>
    <w:rsid w:val="0009595D"/>
    <w:rsid w:val="000A4C17"/>
    <w:rsid w:val="000B280F"/>
    <w:rsid w:val="000E072C"/>
    <w:rsid w:val="000E4F9C"/>
    <w:rsid w:val="000E63CD"/>
    <w:rsid w:val="00106A76"/>
    <w:rsid w:val="0011512D"/>
    <w:rsid w:val="00127112"/>
    <w:rsid w:val="00131475"/>
    <w:rsid w:val="001320FA"/>
    <w:rsid w:val="00136B11"/>
    <w:rsid w:val="00142D33"/>
    <w:rsid w:val="00170B40"/>
    <w:rsid w:val="00170C32"/>
    <w:rsid w:val="001748CD"/>
    <w:rsid w:val="00174BB0"/>
    <w:rsid w:val="00174E58"/>
    <w:rsid w:val="001C2360"/>
    <w:rsid w:val="001D6C9F"/>
    <w:rsid w:val="001E05AE"/>
    <w:rsid w:val="001E5D11"/>
    <w:rsid w:val="001F199C"/>
    <w:rsid w:val="001F75CA"/>
    <w:rsid w:val="00202B29"/>
    <w:rsid w:val="00204D90"/>
    <w:rsid w:val="00212CBD"/>
    <w:rsid w:val="00220D57"/>
    <w:rsid w:val="00226582"/>
    <w:rsid w:val="00241893"/>
    <w:rsid w:val="00244287"/>
    <w:rsid w:val="00251CCA"/>
    <w:rsid w:val="002663BD"/>
    <w:rsid w:val="00270CBB"/>
    <w:rsid w:val="0027461A"/>
    <w:rsid w:val="002856A7"/>
    <w:rsid w:val="00286AE6"/>
    <w:rsid w:val="002908CC"/>
    <w:rsid w:val="00293543"/>
    <w:rsid w:val="002B3597"/>
    <w:rsid w:val="002B6014"/>
    <w:rsid w:val="002B7418"/>
    <w:rsid w:val="002B7B05"/>
    <w:rsid w:val="002C1A89"/>
    <w:rsid w:val="002C755B"/>
    <w:rsid w:val="002D0106"/>
    <w:rsid w:val="002E125E"/>
    <w:rsid w:val="002E2004"/>
    <w:rsid w:val="00300DC1"/>
    <w:rsid w:val="00304D65"/>
    <w:rsid w:val="003501F1"/>
    <w:rsid w:val="003517D7"/>
    <w:rsid w:val="00381368"/>
    <w:rsid w:val="003A405B"/>
    <w:rsid w:val="003B2952"/>
    <w:rsid w:val="003B5C20"/>
    <w:rsid w:val="003D6632"/>
    <w:rsid w:val="003E027F"/>
    <w:rsid w:val="003F418E"/>
    <w:rsid w:val="00402EC8"/>
    <w:rsid w:val="004050AA"/>
    <w:rsid w:val="00413ECF"/>
    <w:rsid w:val="00423A6D"/>
    <w:rsid w:val="004403EA"/>
    <w:rsid w:val="004521A7"/>
    <w:rsid w:val="00471E0D"/>
    <w:rsid w:val="004B07CF"/>
    <w:rsid w:val="004B1D3C"/>
    <w:rsid w:val="004B27CF"/>
    <w:rsid w:val="004B5CBC"/>
    <w:rsid w:val="004D54BE"/>
    <w:rsid w:val="004E1A40"/>
    <w:rsid w:val="004E2689"/>
    <w:rsid w:val="004E2F9C"/>
    <w:rsid w:val="004F4862"/>
    <w:rsid w:val="00537439"/>
    <w:rsid w:val="00553732"/>
    <w:rsid w:val="0057010E"/>
    <w:rsid w:val="005765EE"/>
    <w:rsid w:val="00580186"/>
    <w:rsid w:val="00585E69"/>
    <w:rsid w:val="005D67D1"/>
    <w:rsid w:val="005E3460"/>
    <w:rsid w:val="005E3D31"/>
    <w:rsid w:val="006047EC"/>
    <w:rsid w:val="00610D28"/>
    <w:rsid w:val="00611AF0"/>
    <w:rsid w:val="00634DBF"/>
    <w:rsid w:val="00646A01"/>
    <w:rsid w:val="00657BAA"/>
    <w:rsid w:val="00661185"/>
    <w:rsid w:val="00673286"/>
    <w:rsid w:val="006735E5"/>
    <w:rsid w:val="00686B0E"/>
    <w:rsid w:val="006A491D"/>
    <w:rsid w:val="006A77C2"/>
    <w:rsid w:val="006C35F7"/>
    <w:rsid w:val="006C459F"/>
    <w:rsid w:val="006E4103"/>
    <w:rsid w:val="0070160C"/>
    <w:rsid w:val="007026DD"/>
    <w:rsid w:val="007038BB"/>
    <w:rsid w:val="00723F74"/>
    <w:rsid w:val="00732DD0"/>
    <w:rsid w:val="0073575F"/>
    <w:rsid w:val="007641DF"/>
    <w:rsid w:val="0076589F"/>
    <w:rsid w:val="0076692B"/>
    <w:rsid w:val="00766F37"/>
    <w:rsid w:val="00770A60"/>
    <w:rsid w:val="00794016"/>
    <w:rsid w:val="00795167"/>
    <w:rsid w:val="00796B78"/>
    <w:rsid w:val="007B02E4"/>
    <w:rsid w:val="007B575A"/>
    <w:rsid w:val="007D2AA1"/>
    <w:rsid w:val="007D6DA8"/>
    <w:rsid w:val="007E6FB9"/>
    <w:rsid w:val="0081379F"/>
    <w:rsid w:val="008269A2"/>
    <w:rsid w:val="00832298"/>
    <w:rsid w:val="0084006B"/>
    <w:rsid w:val="00877144"/>
    <w:rsid w:val="00877CD9"/>
    <w:rsid w:val="008928B3"/>
    <w:rsid w:val="00894D37"/>
    <w:rsid w:val="008A425E"/>
    <w:rsid w:val="008B3A1A"/>
    <w:rsid w:val="008C2CAB"/>
    <w:rsid w:val="009051D0"/>
    <w:rsid w:val="009202B8"/>
    <w:rsid w:val="00925D10"/>
    <w:rsid w:val="00960FDE"/>
    <w:rsid w:val="009616F2"/>
    <w:rsid w:val="0096312A"/>
    <w:rsid w:val="009640A4"/>
    <w:rsid w:val="00965F2E"/>
    <w:rsid w:val="00973194"/>
    <w:rsid w:val="009737D8"/>
    <w:rsid w:val="0098674D"/>
    <w:rsid w:val="00990D0B"/>
    <w:rsid w:val="009922BD"/>
    <w:rsid w:val="00994C99"/>
    <w:rsid w:val="009A2887"/>
    <w:rsid w:val="009B6F76"/>
    <w:rsid w:val="009D6732"/>
    <w:rsid w:val="009E50E3"/>
    <w:rsid w:val="00A35385"/>
    <w:rsid w:val="00A429AC"/>
    <w:rsid w:val="00A548FE"/>
    <w:rsid w:val="00A605C5"/>
    <w:rsid w:val="00A705DE"/>
    <w:rsid w:val="00A74085"/>
    <w:rsid w:val="00A749CD"/>
    <w:rsid w:val="00A932AC"/>
    <w:rsid w:val="00A93AE6"/>
    <w:rsid w:val="00A9406F"/>
    <w:rsid w:val="00A9525F"/>
    <w:rsid w:val="00AB32EE"/>
    <w:rsid w:val="00B01628"/>
    <w:rsid w:val="00B04B6D"/>
    <w:rsid w:val="00B119A9"/>
    <w:rsid w:val="00B12830"/>
    <w:rsid w:val="00B26D8B"/>
    <w:rsid w:val="00B92697"/>
    <w:rsid w:val="00BA11F0"/>
    <w:rsid w:val="00BA7C91"/>
    <w:rsid w:val="00BB1BE8"/>
    <w:rsid w:val="00BC25B2"/>
    <w:rsid w:val="00BC6D44"/>
    <w:rsid w:val="00BC75AF"/>
    <w:rsid w:val="00BD7F69"/>
    <w:rsid w:val="00C04386"/>
    <w:rsid w:val="00C1766D"/>
    <w:rsid w:val="00C211C2"/>
    <w:rsid w:val="00C22BF4"/>
    <w:rsid w:val="00C233B7"/>
    <w:rsid w:val="00C44B68"/>
    <w:rsid w:val="00C65787"/>
    <w:rsid w:val="00C6596D"/>
    <w:rsid w:val="00C72F62"/>
    <w:rsid w:val="00C75AC7"/>
    <w:rsid w:val="00C868DB"/>
    <w:rsid w:val="00C97F6A"/>
    <w:rsid w:val="00CA6C35"/>
    <w:rsid w:val="00CB207A"/>
    <w:rsid w:val="00CB73ED"/>
    <w:rsid w:val="00CC1899"/>
    <w:rsid w:val="00CC5493"/>
    <w:rsid w:val="00D31AB8"/>
    <w:rsid w:val="00D41052"/>
    <w:rsid w:val="00D613CB"/>
    <w:rsid w:val="00D86530"/>
    <w:rsid w:val="00DB5309"/>
    <w:rsid w:val="00DC6F6A"/>
    <w:rsid w:val="00DF176A"/>
    <w:rsid w:val="00DF7EF1"/>
    <w:rsid w:val="00E153ED"/>
    <w:rsid w:val="00E17340"/>
    <w:rsid w:val="00E17F43"/>
    <w:rsid w:val="00E46D03"/>
    <w:rsid w:val="00E53FA2"/>
    <w:rsid w:val="00E602FB"/>
    <w:rsid w:val="00E605C6"/>
    <w:rsid w:val="00E70B2D"/>
    <w:rsid w:val="00E76DAA"/>
    <w:rsid w:val="00E850BE"/>
    <w:rsid w:val="00E930DE"/>
    <w:rsid w:val="00E94709"/>
    <w:rsid w:val="00EB0A78"/>
    <w:rsid w:val="00EC4C2B"/>
    <w:rsid w:val="00EC6DEC"/>
    <w:rsid w:val="00F0467E"/>
    <w:rsid w:val="00F1240F"/>
    <w:rsid w:val="00F32C3F"/>
    <w:rsid w:val="00F472C9"/>
    <w:rsid w:val="00F845D4"/>
    <w:rsid w:val="00F84C26"/>
    <w:rsid w:val="00FA577D"/>
    <w:rsid w:val="00FF4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silver" strokecolor="silver">
      <v:fill color="silver" color2="fill darken(118)" rotate="t" focusposition=".5,.5" focussize="" method="linear sigma" focus="100%" type="gradientRadial"/>
      <v:stroke color="silver" weight=".5pt"/>
      <o:colormru v:ext="edit" colors="#c12c2c,#c09,#c30,#f93,#ff7537"/>
      <o:colormenu v:ext="edit" fillcolor="green" strokecolor="none" extrusion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5D11"/>
    <w:rPr>
      <w:sz w:val="24"/>
      <w:szCs w:val="24"/>
    </w:rPr>
  </w:style>
  <w:style w:type="paragraph" w:styleId="Heading1">
    <w:name w:val="heading 1"/>
    <w:basedOn w:val="Normal"/>
    <w:next w:val="Normal"/>
    <w:qFormat/>
    <w:rsid w:val="00E153ED"/>
    <w:pPr>
      <w:keepNext/>
      <w:outlineLvl w:val="0"/>
    </w:pPr>
    <w:rPr>
      <w:rFonts w:ascii="Verdana" w:hAnsi="Verdana"/>
      <w:b/>
      <w:bCs/>
      <w:i/>
      <w:iCs/>
    </w:rPr>
  </w:style>
  <w:style w:type="paragraph" w:styleId="Heading2">
    <w:name w:val="heading 2"/>
    <w:basedOn w:val="Normal"/>
    <w:next w:val="Normal"/>
    <w:qFormat/>
    <w:rsid w:val="00E153ED"/>
    <w:pPr>
      <w:keepNext/>
      <w:outlineLvl w:val="1"/>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1240F"/>
    <w:pPr>
      <w:tabs>
        <w:tab w:val="center" w:pos="4320"/>
        <w:tab w:val="right" w:pos="8640"/>
      </w:tabs>
    </w:pPr>
  </w:style>
  <w:style w:type="paragraph" w:styleId="Footer">
    <w:name w:val="footer"/>
    <w:basedOn w:val="Normal"/>
    <w:rsid w:val="00F1240F"/>
    <w:pPr>
      <w:tabs>
        <w:tab w:val="center" w:pos="4320"/>
        <w:tab w:val="right" w:pos="8640"/>
      </w:tabs>
    </w:pPr>
  </w:style>
  <w:style w:type="paragraph" w:styleId="BodyText">
    <w:name w:val="Body Text"/>
    <w:basedOn w:val="Normal"/>
    <w:rsid w:val="00E153ED"/>
    <w:rPr>
      <w:rFonts w:ascii="Verdana" w:hAnsi="Verdana"/>
      <w:sz w:val="20"/>
    </w:rPr>
  </w:style>
  <w:style w:type="table" w:styleId="TableGrid">
    <w:name w:val="Table Grid"/>
    <w:basedOn w:val="TableNormal"/>
    <w:rsid w:val="003813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E70B2D"/>
    <w:rPr>
      <w:sz w:val="16"/>
      <w:szCs w:val="16"/>
    </w:rPr>
  </w:style>
  <w:style w:type="paragraph" w:styleId="CommentText">
    <w:name w:val="annotation text"/>
    <w:basedOn w:val="Normal"/>
    <w:link w:val="CommentTextChar"/>
    <w:rsid w:val="00E70B2D"/>
    <w:rPr>
      <w:sz w:val="20"/>
      <w:szCs w:val="20"/>
    </w:rPr>
  </w:style>
  <w:style w:type="character" w:customStyle="1" w:styleId="CommentTextChar">
    <w:name w:val="Comment Text Char"/>
    <w:basedOn w:val="DefaultParagraphFont"/>
    <w:link w:val="CommentText"/>
    <w:rsid w:val="00E70B2D"/>
  </w:style>
  <w:style w:type="paragraph" w:styleId="CommentSubject">
    <w:name w:val="annotation subject"/>
    <w:basedOn w:val="CommentText"/>
    <w:next w:val="CommentText"/>
    <w:link w:val="CommentSubjectChar"/>
    <w:rsid w:val="00E70B2D"/>
    <w:rPr>
      <w:b/>
      <w:bCs/>
    </w:rPr>
  </w:style>
  <w:style w:type="character" w:customStyle="1" w:styleId="CommentSubjectChar">
    <w:name w:val="Comment Subject Char"/>
    <w:basedOn w:val="CommentTextChar"/>
    <w:link w:val="CommentSubject"/>
    <w:rsid w:val="00E70B2D"/>
    <w:rPr>
      <w:b/>
      <w:bCs/>
    </w:rPr>
  </w:style>
  <w:style w:type="paragraph" w:styleId="BalloonText">
    <w:name w:val="Balloon Text"/>
    <w:basedOn w:val="Normal"/>
    <w:link w:val="BalloonTextChar"/>
    <w:rsid w:val="00E70B2D"/>
    <w:rPr>
      <w:rFonts w:ascii="Tahoma" w:hAnsi="Tahoma" w:cs="Tahoma"/>
      <w:sz w:val="16"/>
      <w:szCs w:val="16"/>
    </w:rPr>
  </w:style>
  <w:style w:type="character" w:customStyle="1" w:styleId="BalloonTextChar">
    <w:name w:val="Balloon Text Char"/>
    <w:basedOn w:val="DefaultParagraphFont"/>
    <w:link w:val="BalloonText"/>
    <w:rsid w:val="00E70B2D"/>
    <w:rPr>
      <w:rFonts w:ascii="Tahoma" w:hAnsi="Tahoma" w:cs="Tahoma"/>
      <w:sz w:val="16"/>
      <w:szCs w:val="16"/>
    </w:rPr>
  </w:style>
  <w:style w:type="paragraph" w:styleId="ListParagraph">
    <w:name w:val="List Paragraph"/>
    <w:basedOn w:val="Normal"/>
    <w:uiPriority w:val="34"/>
    <w:qFormat/>
    <w:rsid w:val="00E602FB"/>
    <w:pPr>
      <w:ind w:left="720"/>
      <w:contextualSpacing/>
    </w:pPr>
  </w:style>
  <w:style w:type="character" w:styleId="Hyperlink">
    <w:name w:val="Hyperlink"/>
    <w:basedOn w:val="DefaultParagraphFont"/>
    <w:uiPriority w:val="99"/>
    <w:unhideWhenUsed/>
    <w:rsid w:val="00973194"/>
    <w:rPr>
      <w:color w:val="0000FF"/>
      <w:u w:val="single"/>
    </w:rPr>
  </w:style>
</w:styles>
</file>

<file path=word/webSettings.xml><?xml version="1.0" encoding="utf-8"?>
<w:webSettings xmlns:r="http://schemas.openxmlformats.org/officeDocument/2006/relationships" xmlns:w="http://schemas.openxmlformats.org/wordprocessingml/2006/main">
  <w:divs>
    <w:div w:id="414209448">
      <w:bodyDiv w:val="1"/>
      <w:marLeft w:val="0"/>
      <w:marRight w:val="0"/>
      <w:marTop w:val="0"/>
      <w:marBottom w:val="0"/>
      <w:divBdr>
        <w:top w:val="none" w:sz="0" w:space="0" w:color="auto"/>
        <w:left w:val="none" w:sz="0" w:space="0" w:color="auto"/>
        <w:bottom w:val="none" w:sz="0" w:space="0" w:color="auto"/>
        <w:right w:val="none" w:sz="0" w:space="0" w:color="auto"/>
      </w:divBdr>
    </w:div>
    <w:div w:id="788013480">
      <w:bodyDiv w:val="1"/>
      <w:marLeft w:val="0"/>
      <w:marRight w:val="0"/>
      <w:marTop w:val="0"/>
      <w:marBottom w:val="0"/>
      <w:divBdr>
        <w:top w:val="none" w:sz="0" w:space="0" w:color="auto"/>
        <w:left w:val="none" w:sz="0" w:space="0" w:color="auto"/>
        <w:bottom w:val="none" w:sz="0" w:space="0" w:color="auto"/>
        <w:right w:val="none" w:sz="0" w:space="0" w:color="auto"/>
      </w:divBdr>
    </w:div>
    <w:div w:id="1227838386">
      <w:bodyDiv w:val="1"/>
      <w:marLeft w:val="0"/>
      <w:marRight w:val="0"/>
      <w:marTop w:val="0"/>
      <w:marBottom w:val="0"/>
      <w:divBdr>
        <w:top w:val="none" w:sz="0" w:space="0" w:color="auto"/>
        <w:left w:val="none" w:sz="0" w:space="0" w:color="auto"/>
        <w:bottom w:val="none" w:sz="0" w:space="0" w:color="auto"/>
        <w:right w:val="none" w:sz="0" w:space="0" w:color="auto"/>
      </w:divBdr>
    </w:div>
    <w:div w:id="1466699919">
      <w:bodyDiv w:val="1"/>
      <w:marLeft w:val="0"/>
      <w:marRight w:val="0"/>
      <w:marTop w:val="0"/>
      <w:marBottom w:val="0"/>
      <w:divBdr>
        <w:top w:val="none" w:sz="0" w:space="0" w:color="auto"/>
        <w:left w:val="none" w:sz="0" w:space="0" w:color="auto"/>
        <w:bottom w:val="none" w:sz="0" w:space="0" w:color="auto"/>
        <w:right w:val="none" w:sz="0" w:space="0" w:color="auto"/>
      </w:divBdr>
    </w:div>
    <w:div w:id="1695614380">
      <w:bodyDiv w:val="1"/>
      <w:marLeft w:val="0"/>
      <w:marRight w:val="0"/>
      <w:marTop w:val="0"/>
      <w:marBottom w:val="0"/>
      <w:divBdr>
        <w:top w:val="none" w:sz="0" w:space="0" w:color="auto"/>
        <w:left w:val="none" w:sz="0" w:space="0" w:color="auto"/>
        <w:bottom w:val="none" w:sz="0" w:space="0" w:color="auto"/>
        <w:right w:val="none" w:sz="0" w:space="0" w:color="auto"/>
      </w:divBdr>
    </w:div>
    <w:div w:id="187152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Office_Word_Document1.doc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45475F-8292-48DE-841A-3C73F596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2008</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IMS Product News</vt:lpstr>
    </vt:vector>
  </TitlesOfParts>
  <Company>IMS</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Product News</dc:title>
  <dc:creator>Shallyn Harmon</dc:creator>
  <cp:lastModifiedBy>Sara Greenisen</cp:lastModifiedBy>
  <cp:revision>2</cp:revision>
  <cp:lastPrinted>2013-10-30T18:00:00Z</cp:lastPrinted>
  <dcterms:created xsi:type="dcterms:W3CDTF">2014-02-13T18:53:00Z</dcterms:created>
  <dcterms:modified xsi:type="dcterms:W3CDTF">2014-02-13T18:53:00Z</dcterms:modified>
</cp:coreProperties>
</file>