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 w:hAnsi="??" w:eastAsia="??"/>
          <w:b/>
          <w:sz w:val="32"/>
        </w:rPr>
        <w:t>海洋科技人才的多重构型与创造力三层结构：基于大语言模型（LLMs）辅助编码的文本分析</w:t>
      </w:r>
    </w:p>
    <w:p>
      <w:pPr>
        <w:ind w:firstLine="0" w:left="480"/>
      </w:pPr>
      <w:r>
        <w:rPr>
          <w:rFonts w:ascii="??" w:hAnsi="??" w:eastAsia="??"/>
          <w:b w:val="0"/>
          <w:sz w:val="24"/>
        </w:rPr>
        <w:t>投稿目标：《中国软科学》</w:t>
      </w:r>
    </w:p>
    <w:p>
      <w:pPr>
        <w:ind w:firstLine="0" w:left="480"/>
      </w:pPr>
      <w:r>
        <w:rPr>
          <w:rFonts w:ascii="??" w:hAnsi="??" w:eastAsia="??"/>
          <w:b w:val="0"/>
          <w:sz w:val="24"/>
        </w:rPr>
        <w:t>稿件状态：初稿，待补作者信息、基金项目与正式参考文献核校</w:t>
      </w:r>
    </w:p>
    <w:p>
      <w:pPr>
        <w:pStyle w:val="Heading1"/>
        <w:ind w:firstLine="0"/>
        <w:jc w:val="left"/>
      </w:pPr>
      <w:r>
        <w:rPr>
          <w:rFonts w:ascii="??" w:hAnsi="??" w:eastAsia="??"/>
          <w:b/>
          <w:sz w:val="30"/>
        </w:rPr>
        <w:t>摘要</w:t>
      </w:r>
    </w:p>
    <w:p>
      <w:pPr/>
      <w:r>
        <w:rPr>
          <w:rFonts w:ascii="??" w:hAnsi="??" w:eastAsia="??"/>
          <w:b w:val="0"/>
          <w:sz w:val="24"/>
        </w:rPr>
        <w:t>基于创造力三层理论，采用大语言模型（LLMs）辅助文本编码、BERTopic主题识别、UMAP降维和K-Means聚类方法，本文依托项目组构建的海洋人才深度语料库，对208位中国海洋科技人才有效样本及其公开访谈与传记文本开展分析。研究将海洋科技人才的创造力结构划分为蓝色胜任表征、协同创新支撑和深蓝精神内核三个维度，分别对应领域相关能力、创造性过程能力和任务动机/价值驱动。结果识别出14项外层能力、6项中层能力和7项内层能力，并析出蓝潮风电预报领航型、蓝海科教经略枢纽型、海港远航观测舵手型、碧湾种业养殖育蓝型、深水油气工程攻坚型、蓝药生态转化育护型、深海重器自立集成型、海穹地脉灾害预警型8类人才构型。研究发现，海洋科技人才并非单一能力优势的同质群体，而是在不同海洋战略任务中形成“领域表征差异化、创新过程复合化、精神内核共性化”的多重构型；跨学科产学研转化、实地验证与现场调查、数值建模与模拟验证、系统集成与标准化构成各构型能力涌现的重要支撑；海洋强国使命、坚韧攻坚、科研报国和科技自立是各构型长期成长的共同底色。研究从创造力三层结构解释海洋科技人才“做什么、如何做成、为何坚持”的内在逻辑，可为“十五五”时期海洋战略人才分类培养、平台配置和精准支持提供依据。</w:t>
      </w:r>
    </w:p>
    <w:p>
      <w:pPr/>
      <w:r>
        <w:rPr>
          <w:rFonts w:ascii="??" w:hAnsi="??" w:eastAsia="??"/>
          <w:b/>
          <w:sz w:val="24"/>
        </w:rPr>
        <w:t>关键词</w:t>
      </w:r>
      <w:r>
        <w:rPr>
          <w:rFonts w:ascii="??" w:hAnsi="??" w:eastAsia="??"/>
          <w:b w:val="0"/>
          <w:sz w:val="24"/>
        </w:rPr>
        <w:t>：海洋科技人才；多重构型；创造力三层理论；人才画像；大语言模型；成长路径</w:t>
      </w:r>
    </w:p>
    <w:p>
      <w:pPr>
        <w:pStyle w:val="Heading1"/>
        <w:ind w:firstLine="0"/>
        <w:jc w:val="left"/>
      </w:pPr>
      <w:r>
        <w:rPr>
          <w:rFonts w:ascii="??" w:hAnsi="??" w:eastAsia="??"/>
          <w:b/>
          <w:sz w:val="30"/>
        </w:rPr>
        <w:t>一、问题提出</w:t>
      </w:r>
    </w:p>
    <w:p>
      <w:pPr/>
      <w:r>
        <w:rPr>
          <w:rFonts w:ascii="??" w:hAnsi="??" w:eastAsia="??"/>
          <w:b w:val="0"/>
          <w:sz w:val="24"/>
        </w:rPr>
        <w:t>海洋强国建设正在把海洋科技人才推向更加关键的位置。党的十八大以来，“关心海洋、认识海洋、经略海洋”成为新时代海洋事业发展的重要命题[1]；2026年《求是》发表习近平总书记重要文章《推动海洋经济高质量发展》，进一步强调提高海洋科技自主创新能力、强化海洋战略科技力量、培育海洋科技领军企业和专精特新中小企业[2]；“十五五”规划相关部署也把加强海洋开发利用保护、坚持陆海统筹、提高经略海洋能力、加快建设海洋强国置于现代化建设全局之中[3]。伴随海洋科技活动向深远海探测、智能装备、生态保护、资源利用和全球治理等复杂任务延展，海洋科技人才已不只是以论文、项目、职称等外显成果加以评价的科研个体，而是承担海洋任务、组织协同创新并在长期不确定环境中保持价值坚守的复合型行动主体。现实问题在于，海洋科技人才的群体面貌仍不够清晰：不同海洋赛道中人才的外层能力如何表现，中层协同支撑如何形成，内层精神品质如何驱动长期投入，尚缺乏系统画像。揭示海洋科技人才的能力构型及其内中外层关系，不仅有助于从“有多少人才”转向“需要什么类型人才”，也是完善海洋战略人才培养、平台配置和政策支持的重要基础。</w:t>
      </w:r>
    </w:p>
    <w:p>
      <w:pPr/>
      <w:r>
        <w:rPr>
          <w:rFonts w:ascii="??" w:hAnsi="??" w:eastAsia="??"/>
          <w:b w:val="0"/>
          <w:sz w:val="24"/>
        </w:rPr>
        <w:t>已有文献围绕海洋科技人才和人才画像展开了有益探索。一方面，涉海人才研究主要从培养体系、人才流动、重大平台和组织支持等角度说明海洋科技人才的形成条件[4-9]，为理解人才成长场景提供了基础。另一方面，科技人才和战略科学家研究已将识别对象从身份称号推进到能力素质结构，数据画像、青年人才画像、科研专长识别和企业科技人才构型研究则把结构化数据、公开文本、知识图谱、聚类分析、冰山模型和大语言模型用于刻画人才特征[10-15]；科研职业发展研究也提示，早期经历、学术流动和人才认可会影响科研人员的长期发展[16-19]。但现有研究仍有进一步推进的空间：一是海洋科技人才画像的维度相对单一，常以学历、职称、项目、论文、合作网络、流动轨迹等可量化指标呈现人才面貌，对具体海洋任务中的专业表征关注不足；二是对协同过程和精神品质的刻画还不充分，尚难解释同样服务海洋战略任务的人才为何会形成不同能力组合和画像类型。</w:t>
      </w:r>
    </w:p>
    <w:p>
      <w:pPr/>
      <w:r>
        <w:rPr>
          <w:rFonts w:ascii="??" w:hAnsi="??" w:eastAsia="??"/>
          <w:b w:val="0"/>
          <w:sz w:val="24"/>
        </w:rPr>
        <w:t>要推进上述问题，需要把海洋科技人才的外显成果、成事过程和深层动机放在同一框架中观察。创造力三层理论认为，创造性成果依赖领域知识与技能、创造性过程以及任务动机的共同作用[20-22]，与海洋科技人才画像具有较强契合性。对应到海洋科技场景，外层的蓝色胜任表征刻画人才所在赛道、专业能力和成果形态；中层的协同创新支撑识别跨学科协同、现场验证、数值模拟、系统集成和成果转化等过程能力；内层的深蓝精神内核则关注海洋强国、科研报国、科技自立和生态守护等价值驱动。基于此，本文构建“蓝色胜任表征-协同创新支撑-深蓝精神内核”的三层画像框架，并利用项目组构建的海洋人才深度语料库开展分析。该语料库整合223篇公开文本，原始文本总量逾120万字；经清洗和结构化整理后，本文以208位有效样本开展三层编码与人员聚类。</w:t>
      </w:r>
    </w:p>
    <w:p>
      <w:pPr>
        <w:pStyle w:val="Heading1"/>
        <w:ind w:firstLine="0"/>
        <w:jc w:val="left"/>
      </w:pPr>
      <w:r>
        <w:rPr>
          <w:rFonts w:ascii="??" w:hAnsi="??" w:eastAsia="??"/>
          <w:b/>
          <w:sz w:val="30"/>
        </w:rPr>
        <w:t>二、海洋科技人才画像的理论解释</w:t>
      </w:r>
    </w:p>
    <w:p>
      <w:pPr/>
      <w:r>
        <w:rPr>
          <w:rFonts w:ascii="??" w:hAnsi="??" w:eastAsia="??"/>
          <w:b w:val="0"/>
          <w:sz w:val="24"/>
        </w:rPr>
        <w:t>人才画像的价值，在于从真实人才数据中提炼能够解释群体差异的特征结构，而不是把个人履历和成果清单重新排成表格。既有科技人才研究已经把识别对象从身份称号和成果指标推进到能力素质结构；数据画像、科研专长识别和企业科技人才构型研究也开始使用公开文本与知识图谱，并结合聚类分析和大语言模型等方法[10-15]。这些研究为本文提供了方法参照。本文没有沿用由研究者先列指标再把样本填入指标表的做法，而是从人物文本中抽取能力信号，经主题识别和聚类生成能力标签。创造力三层理论在这里承担解释框架的作用，具体能力项仍由语料和算法结果决定。</w:t>
      </w:r>
    </w:p>
    <w:p>
      <w:pPr/>
      <w:r>
        <w:rPr>
          <w:rFonts w:ascii="??" w:hAnsi="??" w:eastAsia="??"/>
          <w:b w:val="0"/>
          <w:sz w:val="24"/>
        </w:rPr>
        <w:t>海洋科技人才画像需要保留海洋场景，但不宜把场景铺陈为宏观任务清单。对本文而言，场景的意义在于提供理解能力信号的语境：同样是科技人才，海洋领域的公开文本常把专业贡献放在航次调查和海试验证中，也放在装备研制及平台组织过程中叙述，这些任务又会牵出协同方式和价值动机。已有海洋创新生态与能力建设研究说明，海洋科技活动高度依赖基础设施、组织网络以及长期任务牵引[23-26]；涉海人才研究也多从培养流动和平台条件说明人才成长[4-9]。这些研究为理解成长环境提供了背景，但还没有把人物文本中的能力信号进一步组织为可比较的画像结构。因此，本文所谓海洋科技人才画像，重点不是评价个体高低，而是识别人才在海洋任务中呈现出的专业贡献及其协同方式和精神品质。</w:t>
      </w:r>
    </w:p>
    <w:p>
      <w:pPr/>
      <w:r>
        <w:rPr>
          <w:rFonts w:ascii="??" w:hAnsi="??" w:eastAsia="??"/>
          <w:b w:val="0"/>
          <w:sz w:val="24"/>
        </w:rPr>
        <w:t>解释这些关系，需要一个能够处理层次问题的理论框架。创造力三层理论认为，创造性产出受领域相关能力、创造性过程能力和任务动机共同影响[20-22]。领域相关能力决定问题识别和专业判断，创造性过程能力关系到知识重组和资源整合，任务动机影响个体在不确定和高风险情境中的持续投入。用这一理论理解海洋科技人才，可以把“做什么”“怎样做成”和“为什么坚持”放在同一条分析链中。</w:t>
      </w:r>
    </w:p>
    <w:p>
      <w:pPr/>
      <w:r>
        <w:rPr>
          <w:rFonts w:ascii="??" w:hAnsi="??" w:eastAsia="??"/>
          <w:b w:val="0"/>
          <w:sz w:val="24"/>
        </w:rPr>
        <w:t>这一理论与海洋科技人才的实践特征是契合的。海洋科技活动链条很长，既有科学发现，也有工程验证、现场调查和成果转化。单靠论文和项目，或职称等外显指标，很难看见其中的创造过程。对应到本文，领域相关能力用于解释人才在具体海洋赛道中的专业表征；创造性过程能力用于解释跨学科协同、现场验证以及数值模拟中的转化应用；任务动机则帮助识别海洋强国使命、科研报国与科技自立，以及生态守护等较深层的精神品质。</w:t>
      </w:r>
    </w:p>
    <w:p>
      <w:pPr/>
      <w:r>
        <w:rPr>
          <w:rFonts w:ascii="??" w:hAnsi="??" w:eastAsia="??"/>
          <w:b w:val="0"/>
          <w:sz w:val="24"/>
        </w:rPr>
        <w:t>在此基础上，本文把海洋科技人才画像组织为“蓝色胜任表征-协同创新支撑-深蓝精神内核”三层结构。蓝色胜任表征对应领域相关能力，主要呈现人才所处的海洋赛道和成果形态；协同创新支撑对应创造性过程能力，呈现其组织知识并验证方案，进而推动转化的方式；深蓝精神内核对应任务动机，呈现使命感和长期投入，也包括更稳定的价值取向。需要说明的是，三层名称是理论化概括，不是能力项的人工预设。进入每一层的具体标签，来自大语言模型对人物原文的能力信号抽取，也经过主题模型聚类和人工复核。</w:t>
      </w:r>
    </w:p>
    <w:p>
      <w:pPr/>
      <w:r>
        <w:rPr>
          <w:rFonts w:ascii="??" w:hAnsi="??" w:eastAsia="??"/>
          <w:b w:val="0"/>
          <w:sz w:val="24"/>
        </w:rPr>
        <w:t>因此，三层结构不应被理解为并列的指标栏。深蓝精神内核解释为什么投入，协同创新支撑解释如何把动机和知识转化为行动，蓝色胜任表征则呈现行动的专业落点。与一般人才画像相比，本文更关心公开文本中自然出现的能力主题如何组合；与单纯能力评价相比，本文也不把画像处理成分数排序，而是据此识别不同海洋战略任务中的多重构型。后续经验分析即围绕这一思路展开。</w:t>
      </w:r>
    </w:p>
    <w:p>
      <w:pPr>
        <w:pStyle w:val="Heading1"/>
        <w:ind w:firstLine="0"/>
        <w:jc w:val="left"/>
      </w:pPr>
      <w:r>
        <w:rPr>
          <w:rFonts w:ascii="??" w:hAnsi="??" w:eastAsia="??"/>
          <w:b/>
          <w:sz w:val="30"/>
        </w:rPr>
        <w:t>三、研究设计</w:t>
      </w:r>
    </w:p>
    <w:p>
      <w:pPr>
        <w:pStyle w:val="Heading2"/>
        <w:ind w:firstLine="0"/>
        <w:jc w:val="left"/>
      </w:pPr>
      <w:r>
        <w:rPr>
          <w:rFonts w:ascii="??" w:hAnsi="??" w:eastAsia="??"/>
          <w:b/>
          <w:sz w:val="28"/>
        </w:rPr>
        <w:t>（一）样本与数据来源</w:t>
      </w:r>
    </w:p>
    <w:p>
      <w:pPr/>
      <w:r>
        <w:rPr>
          <w:rFonts w:ascii="??" w:hAnsi="??" w:eastAsia="??"/>
          <w:b w:val="0"/>
          <w:sz w:val="24"/>
        </w:rPr>
        <w:t>在数据储备与样本多样性方面，项目组已构建起一个涵盖海洋领域核心专家的深度语料库，并同步建设大规模“海洋人才市场需求数据库”，用于从供给侧人才能力与需求侧岗位/能力要求两个方向理解海洋人才结构。海洋人才深度语料库整合来自自然资源部海洋研究所等专业机构的学术报告、人物志，以及《光明日报》、光明网、《科学中国人》、《中国高新科技》等权威媒体的深度采访与人物报道，共计223篇原始文本，总字数逾120万字。</w:t>
      </w:r>
    </w:p>
    <w:p>
      <w:pPr/>
      <w:r>
        <w:rPr>
          <w:rFonts w:ascii="??" w:hAnsi="??" w:eastAsia="??"/>
          <w:b w:val="0"/>
          <w:sz w:val="24"/>
        </w:rPr>
        <w:t>本文的实证分析以208位海洋科技人才为有效样本。该样本覆盖物理海洋、海洋地质、海洋生物、海洋工程、船舶与航海、海洋遥感、深海装备、极地科考、海洋治理和水产种业等多个方向。由于数据均来自公开文本，本文关注的是公开叙事中可识别的能力信号，而不对个体未公开经历作推断。</w:t>
      </w:r>
    </w:p>
    <w:p>
      <w:pPr>
        <w:pStyle w:val="Heading2"/>
        <w:ind w:firstLine="0"/>
        <w:jc w:val="left"/>
      </w:pPr>
      <w:r>
        <w:rPr>
          <w:rFonts w:ascii="??" w:hAnsi="??" w:eastAsia="??"/>
          <w:b/>
          <w:sz w:val="28"/>
        </w:rPr>
        <w:t>（二）文本清洗与三层能力信号抽取</w:t>
      </w:r>
    </w:p>
    <w:p>
      <w:pPr/>
      <w:r>
        <w:rPr>
          <w:rFonts w:ascii="??" w:hAnsi="??" w:eastAsia="??"/>
          <w:b w:val="0"/>
          <w:sz w:val="24"/>
        </w:rPr>
        <w:t>原始文本首先被整理为以人物为单位的文本文件，并采用多编码读取方式处理GBK、GB2312、UTF-8和GB18030等可能存在的中文编码差异。随后，研究使用大语言模型对每份人物文本进行三层能力信号抽取。模型调用采用DeepSeek API，默认模型为deepseek-v4-pro，温度参数设为0，以降低随机性；每份文本一次性抽取外层、中层和内层三类能力信号，并输出结构化JSON结果。</w:t>
      </w:r>
    </w:p>
    <w:p>
      <w:pPr/>
      <w:r>
        <w:rPr>
          <w:rFonts w:ascii="??" w:hAnsi="??" w:eastAsia="??"/>
          <w:b w:val="0"/>
          <w:sz w:val="24"/>
        </w:rPr>
        <w:t>编码提示明确要求模型仅依据原文，不引入外部知识，并严格区分三个层次：外层聚焦与海洋直接相关的可观察实践、项目和成果，回答“做了什么”；中层聚焦支撑海洋实践的能力机制、方法经验、知识结构和资源组织方式，回答“凭什么能做、怎样做成”；内层聚焦与海洋相关的认知、价值、使命和战略取向，回答“为什么长期投入”。为降低概念混淆，编码规则特别强调：外层可以保留具体海洋对象、专业领域和项目成果名称；中层必须避免复述外层项目，应抽象为系统集成、海试组织、数值建模、数据融合、标准制定、产学研转化等机制型标签；内层必须有文本依据，不能泛化为普通人格评价。</w:t>
      </w:r>
    </w:p>
    <w:p>
      <w:pPr/>
      <w:r>
        <w:rPr>
          <w:rFonts w:ascii="??" w:hAnsi="??" w:eastAsia="??"/>
          <w:b w:val="0"/>
          <w:sz w:val="24"/>
        </w:rPr>
        <w:t>三层抽取共形成外层能力信号1827条、中层能力信号1742条、内层能力信号1468条。该步骤的作用是将非结构化人物文本转化为可进行分层主题建模的短文本能力信号集合。</w:t>
      </w:r>
    </w:p>
    <w:p>
      <w:pPr>
        <w:pStyle w:val="Heading2"/>
        <w:ind w:firstLine="0"/>
        <w:jc w:val="left"/>
      </w:pPr>
      <w:r>
        <w:rPr>
          <w:rFonts w:ascii="??" w:hAnsi="??" w:eastAsia="??"/>
          <w:b/>
          <w:sz w:val="28"/>
        </w:rPr>
        <w:t>（三）主题识别与人员聚类</w:t>
      </w:r>
    </w:p>
    <w:p>
      <w:pPr/>
      <w:r>
        <w:rPr>
          <w:rFonts w:ascii="??" w:hAnsi="??" w:eastAsia="??"/>
          <w:b w:val="0"/>
          <w:sz w:val="24"/>
        </w:rPr>
        <w:t>在主题识别阶段，研究按外层、中层、内层分别汇总能力信号，并对重复信号进行去重处理。去重后，外层、中层、内层分别有1815条、1648条和1328条能力信号进入主题建模。研究采用paraphrase-multilingual-MiniLM-L12-v2生成多语言句向量，以余弦距离为度量使用UMAP降至5维；在BERTopic框架中使用BisectingKMeans作为受控聚类器，并采用完整短标签作为分词单元，以保留能力信号的语义完整性。各层主题数先通过K=2至20的肘部法进行初步评估，再结合主题内部一致性、主题之间区分度和海洋人才解释价值进行命名与合并，最终识别出外层14个蓝色胜任表征主题、中层6个协同创新支撑主题和内层7个深蓝精神内核主题，共形成27项能力标签。</w:t>
      </w:r>
    </w:p>
    <w:p>
      <w:pPr/>
      <w:r>
        <w:rPr>
          <w:rFonts w:ascii="??" w:hAnsi="??" w:eastAsia="??"/>
          <w:b w:val="0"/>
          <w:sz w:val="24"/>
        </w:rPr>
        <w:t>完成主题命名后，研究将三层主题标签回写至每份人物JSON文件，形成“人物-能力主题”对应关系。随后，以208位有效样本为行、27项能力主题为列，构造个体能力得分矩阵；矩阵元素为某一人才在对应能力主题上出现的信号次数。为降低量纲影响，研究对矩阵进行标准化处理，再使用UMAP降至5维，并在K=2至12范围内计算K-Means聚类的轮廓系数。综合轮廓系数、簇规模、画像可解释性和政策应用价值，最终确定8类海洋科技人才画像，并使用二维UMAP进行可视化展示。</w:t>
      </w:r>
    </w:p>
    <w:p>
      <w:pPr/>
      <w:r>
        <w:rPr>
          <w:rFonts w:ascii="??" w:hAnsi="??" w:eastAsia="??"/>
          <w:b w:val="0"/>
          <w:sz w:val="24"/>
        </w:rPr>
        <w:t>需要说明的是，主题模型输出的主题频次不等同于覆盖人数。因此本文在结果展示中重新计算每项能力至少出现一次的人数及其占样本比例，用于解释群体覆盖情况；主题信号频次仅作为辅助信息。八类人才画像的占比以208位有效样本为分母计算。</w:t>
      </w:r>
    </w:p>
    <w:p>
      <w:pPr>
        <w:pStyle w:val="Heading2"/>
        <w:ind w:firstLine="0"/>
        <w:jc w:val="left"/>
      </w:pPr>
      <w:r>
        <w:rPr>
          <w:rFonts w:ascii="??" w:hAnsi="??" w:eastAsia="??"/>
          <w:b/>
          <w:sz w:val="28"/>
        </w:rPr>
        <w:t>（四）质量控制与方法边界</w:t>
      </w:r>
    </w:p>
    <w:p>
      <w:pPr/>
      <w:r>
        <w:rPr>
          <w:rFonts w:ascii="??" w:hAnsi="??" w:eastAsia="??"/>
          <w:b w:val="0"/>
          <w:sz w:val="24"/>
        </w:rPr>
        <w:t>为提高文本编码和聚类结果的可靠性，研究在流程上设置了三类控制。第一，提示词控制。三层抽取提示词明确要求“不编造、不扩展、不引入外部知识”，并通过“外层做什么、中层怎样做成、内层为什么做”的维度定义降低层间混淆。第二，路径和结果控制。抽取、回标和聚类脚本均采用归档目录相对路径，避免不同实验版本混用；回标阶段依据各层主题分配文件和统一命名表，将主题名称写回人物JSON，保证主题模型结果与个体聚类使用同一套27项能力标签。第三，可解释性控制。主题命名和最终画像不是单纯采用算法标签，而是结合代表性信号、聚类中心高分能力和海洋科技场景进行人工概括，以确保结果能够服务海洋人才分类培养和政策分析。</w:t>
      </w:r>
    </w:p>
    <w:p>
      <w:pPr/>
      <w:r>
        <w:rPr>
          <w:rFonts w:ascii="??" w:hAnsi="??" w:eastAsia="??"/>
          <w:b w:val="0"/>
          <w:sz w:val="24"/>
        </w:rPr>
        <w:t>本文方法也存在边界。其一，公开报道和人物志文本存在选择性叙事，可能强化成就、使命和典型事件，而弱化失败经历或组织约束。其二，大语言模型辅助编码提高了大规模文本处理效率，但仍需要专家复核来进一步提升标签稳定性。其三，聚类结果揭示的是文本能力信号的共现结构和画像类型，不宜直接解释为严格因果路径。</w:t>
      </w:r>
    </w:p>
    <w:p>
      <w:pPr>
        <w:pStyle w:val="Heading1"/>
        <w:ind w:firstLine="0"/>
        <w:jc w:val="left"/>
      </w:pPr>
      <w:r>
        <w:rPr>
          <w:rFonts w:ascii="??" w:hAnsi="??" w:eastAsia="??"/>
          <w:b/>
          <w:sz w:val="30"/>
        </w:rPr>
        <w:t>四、三层能力主题识别结果</w:t>
      </w:r>
    </w:p>
    <w:p>
      <w:pPr>
        <w:pStyle w:val="Heading2"/>
        <w:ind w:firstLine="0"/>
        <w:jc w:val="left"/>
      </w:pPr>
      <w:r>
        <w:rPr>
          <w:rFonts w:ascii="??" w:hAnsi="??" w:eastAsia="??"/>
          <w:b/>
          <w:sz w:val="28"/>
        </w:rPr>
        <w:t>（一）蓝色胜任表征维度：海洋场景中的领域创造力</w:t>
      </w:r>
    </w:p>
    <w:p>
      <w:pPr/>
      <w:r>
        <w:rPr>
          <w:rFonts w:ascii="??" w:hAnsi="??" w:eastAsia="??"/>
          <w:b w:val="0"/>
          <w:sz w:val="24"/>
        </w:rPr>
        <w:t>外层能力共识别出14项主题，体现海洋科技人才在不同海洋赛道中的领域相关能力和可观察创造性成果。覆盖率较高的能力包括蓝色科教治理传播能力、涉海科技平台引领能力、深海潜器与深水工程能力、蓝色生态养殖转化能力、船港航海与海上作业能力、海浪环流与风电工程能力等。这说明海洋科技人才的外层表征不仅包括传统科学研究，还包括平台建设、科教传播、工程保障、产业转化和海洋治理。</w:t>
      </w:r>
    </w:p>
    <w:p>
      <w:pPr/>
      <w:r>
        <w:rPr>
          <w:rFonts w:ascii="??" w:hAnsi="??" w:eastAsia="??"/>
          <w:b/>
          <w:sz w:val="24"/>
        </w:rPr>
        <w:t>表1 蓝色胜任表征维度主题</w:t>
      </w:r>
    </w:p>
    <w:tbl>
      <w:tblPr>
        <w:tblStyle w:val="TableGrid"/>
        <w:tblW w:type="auto" w:w="0"/>
        <w:jc w:val="center"/>
        <w:tblLayout w:type="autofit"/>
        <w:tblLook w:firstColumn="1" w:firstRow="1" w:lastColumn="0" w:lastRow="0" w:noHBand="0" w:noVBand="1" w:val="04A0"/>
      </w:tblPr>
      <w:tblGrid>
        <w:gridCol w:w="2161"/>
        <w:gridCol w:w="2161"/>
        <w:gridCol w:w="2161"/>
        <w:gridCol w:w="2161"/>
      </w:tblGrid>
      <w:tr>
        <w:tc>
          <w:tcPr>
            <w:tcW w:type="dxa" w:w="680"/>
            <w:vAlign w:val="center"/>
            <w:shd w:fill="D9EAF7"/>
          </w:tcPr>
          <w:p>
            <w:pPr>
              <w:spacing w:line="276" w:lineRule="auto" w:after="0"/>
              <w:ind w:firstLine="0"/>
              <w:jc w:val="center"/>
            </w:pPr>
            <w:r>
              <w:rPr>
                <w:rFonts w:ascii="??" w:hAnsi="??" w:eastAsia="??"/>
                <w:b/>
                <w:sz w:val="21"/>
              </w:rPr>
              <w:t>序号</w:t>
            </w:r>
          </w:p>
        </w:tc>
        <w:tc>
          <w:tcPr>
            <w:tcW w:type="dxa" w:w="4876"/>
            <w:vAlign w:val="center"/>
            <w:shd w:fill="D9EAF7"/>
          </w:tcPr>
          <w:p>
            <w:pPr>
              <w:spacing w:line="276" w:lineRule="auto" w:after="0"/>
              <w:ind w:firstLine="0"/>
              <w:jc w:val="center"/>
            </w:pPr>
            <w:r>
              <w:rPr>
                <w:rFonts w:ascii="??" w:hAnsi="??" w:eastAsia="??"/>
                <w:b/>
                <w:sz w:val="21"/>
              </w:rPr>
              <w:t>能力主题</w:t>
            </w:r>
          </w:p>
        </w:tc>
        <w:tc>
          <w:tcPr>
            <w:tcW w:type="dxa" w:w="1190"/>
            <w:vAlign w:val="center"/>
            <w:shd w:fill="D9EAF7"/>
          </w:tcPr>
          <w:p>
            <w:pPr>
              <w:spacing w:line="276" w:lineRule="auto" w:after="0"/>
              <w:ind w:firstLine="0"/>
              <w:jc w:val="center"/>
            </w:pPr>
            <w:r>
              <w:rPr>
                <w:rFonts w:ascii="??" w:hAnsi="??" w:eastAsia="??"/>
                <w:b/>
                <w:sz w:val="21"/>
              </w:rPr>
              <w:t>覆盖人数</w:t>
            </w:r>
          </w:p>
        </w:tc>
        <w:tc>
          <w:tcPr>
            <w:tcW w:type="dxa" w:w="1190"/>
            <w:vAlign w:val="center"/>
            <w:shd w:fill="D9EAF7"/>
          </w:tcPr>
          <w:p>
            <w:pPr>
              <w:spacing w:line="276" w:lineRule="auto" w:after="0"/>
              <w:ind w:firstLine="0"/>
              <w:jc w:val="center"/>
            </w:pPr>
            <w:r>
              <w:rPr>
                <w:rFonts w:ascii="??" w:hAnsi="??" w:eastAsia="??"/>
                <w:b/>
                <w:sz w:val="21"/>
              </w:rPr>
              <w:t>占比</w:t>
            </w:r>
          </w:p>
        </w:tc>
      </w:tr>
      <w:tr>
        <w:tc>
          <w:tcPr>
            <w:tcW w:type="dxa" w:w="680"/>
            <w:vAlign w:val="center"/>
          </w:tcPr>
          <w:p>
            <w:pPr>
              <w:spacing w:line="276" w:lineRule="auto" w:after="0"/>
              <w:ind w:firstLine="0"/>
              <w:jc w:val="center"/>
            </w:pPr>
            <w:r>
              <w:rPr>
                <w:rFonts w:ascii="??" w:hAnsi="??" w:eastAsia="??"/>
                <w:b w:val="0"/>
                <w:sz w:val="21"/>
              </w:rPr>
              <w:t>1</w:t>
            </w:r>
          </w:p>
        </w:tc>
        <w:tc>
          <w:tcPr>
            <w:tcW w:type="dxa" w:w="4876"/>
            <w:vAlign w:val="center"/>
          </w:tcPr>
          <w:p>
            <w:pPr>
              <w:spacing w:line="276" w:lineRule="auto" w:after="0"/>
              <w:ind w:firstLine="0"/>
              <w:jc w:val="left"/>
            </w:pPr>
            <w:r>
              <w:rPr>
                <w:rFonts w:ascii="??" w:hAnsi="??" w:eastAsia="??"/>
                <w:b w:val="0"/>
                <w:sz w:val="21"/>
              </w:rPr>
              <w:t>蓝色科教治理传播能力</w:t>
            </w:r>
          </w:p>
        </w:tc>
        <w:tc>
          <w:tcPr>
            <w:tcW w:type="dxa" w:w="1190"/>
            <w:vAlign w:val="center"/>
          </w:tcPr>
          <w:p>
            <w:pPr>
              <w:spacing w:line="276" w:lineRule="auto" w:after="0"/>
              <w:ind w:firstLine="0"/>
              <w:jc w:val="center"/>
            </w:pPr>
            <w:r>
              <w:rPr>
                <w:rFonts w:ascii="??" w:hAnsi="??" w:eastAsia="??"/>
                <w:b w:val="0"/>
                <w:sz w:val="21"/>
              </w:rPr>
              <w:t>102</w:t>
            </w:r>
          </w:p>
        </w:tc>
        <w:tc>
          <w:tcPr>
            <w:tcW w:type="dxa" w:w="1190"/>
            <w:vAlign w:val="center"/>
          </w:tcPr>
          <w:p>
            <w:pPr>
              <w:spacing w:line="276" w:lineRule="auto" w:after="0"/>
              <w:ind w:firstLine="0"/>
              <w:jc w:val="center"/>
            </w:pPr>
            <w:r>
              <w:rPr>
                <w:rFonts w:ascii="??" w:hAnsi="??" w:eastAsia="??"/>
                <w:b w:val="0"/>
                <w:sz w:val="21"/>
              </w:rPr>
              <w:t>48.8%</w:t>
            </w:r>
          </w:p>
        </w:tc>
      </w:tr>
      <w:tr>
        <w:tc>
          <w:tcPr>
            <w:tcW w:type="dxa" w:w="680"/>
            <w:vAlign w:val="center"/>
          </w:tcPr>
          <w:p>
            <w:pPr>
              <w:spacing w:line="276" w:lineRule="auto" w:after="0"/>
              <w:ind w:firstLine="0"/>
              <w:jc w:val="center"/>
            </w:pPr>
            <w:r>
              <w:rPr>
                <w:rFonts w:ascii="??" w:hAnsi="??" w:eastAsia="??"/>
                <w:b w:val="0"/>
                <w:sz w:val="21"/>
              </w:rPr>
              <w:t>2</w:t>
            </w:r>
          </w:p>
        </w:tc>
        <w:tc>
          <w:tcPr>
            <w:tcW w:type="dxa" w:w="4876"/>
            <w:vAlign w:val="center"/>
          </w:tcPr>
          <w:p>
            <w:pPr>
              <w:spacing w:line="276" w:lineRule="auto" w:after="0"/>
              <w:ind w:firstLine="0"/>
              <w:jc w:val="left"/>
            </w:pPr>
            <w:r>
              <w:rPr>
                <w:rFonts w:ascii="??" w:hAnsi="??" w:eastAsia="??"/>
                <w:b w:val="0"/>
                <w:sz w:val="21"/>
              </w:rPr>
              <w:t>涉海科技平台引领能力</w:t>
            </w:r>
          </w:p>
        </w:tc>
        <w:tc>
          <w:tcPr>
            <w:tcW w:type="dxa" w:w="1190"/>
            <w:vAlign w:val="center"/>
          </w:tcPr>
          <w:p>
            <w:pPr>
              <w:spacing w:line="276" w:lineRule="auto" w:after="0"/>
              <w:ind w:firstLine="0"/>
              <w:jc w:val="center"/>
            </w:pPr>
            <w:r>
              <w:rPr>
                <w:rFonts w:ascii="??" w:hAnsi="??" w:eastAsia="??"/>
                <w:b w:val="0"/>
                <w:sz w:val="21"/>
              </w:rPr>
              <w:t>97</w:t>
            </w:r>
          </w:p>
        </w:tc>
        <w:tc>
          <w:tcPr>
            <w:tcW w:type="dxa" w:w="1190"/>
            <w:vAlign w:val="center"/>
          </w:tcPr>
          <w:p>
            <w:pPr>
              <w:spacing w:line="276" w:lineRule="auto" w:after="0"/>
              <w:ind w:firstLine="0"/>
              <w:jc w:val="center"/>
            </w:pPr>
            <w:r>
              <w:rPr>
                <w:rFonts w:ascii="??" w:hAnsi="??" w:eastAsia="??"/>
                <w:b w:val="0"/>
                <w:sz w:val="21"/>
              </w:rPr>
              <w:t>46.4%</w:t>
            </w:r>
          </w:p>
        </w:tc>
      </w:tr>
      <w:tr>
        <w:tc>
          <w:tcPr>
            <w:tcW w:type="dxa" w:w="680"/>
            <w:vAlign w:val="center"/>
          </w:tcPr>
          <w:p>
            <w:pPr>
              <w:spacing w:line="276" w:lineRule="auto" w:after="0"/>
              <w:ind w:firstLine="0"/>
              <w:jc w:val="center"/>
            </w:pPr>
            <w:r>
              <w:rPr>
                <w:rFonts w:ascii="??" w:hAnsi="??" w:eastAsia="??"/>
                <w:b w:val="0"/>
                <w:sz w:val="21"/>
              </w:rPr>
              <w:t>3</w:t>
            </w:r>
          </w:p>
        </w:tc>
        <w:tc>
          <w:tcPr>
            <w:tcW w:type="dxa" w:w="4876"/>
            <w:vAlign w:val="center"/>
          </w:tcPr>
          <w:p>
            <w:pPr>
              <w:spacing w:line="276" w:lineRule="auto" w:after="0"/>
              <w:ind w:firstLine="0"/>
              <w:jc w:val="left"/>
            </w:pPr>
            <w:r>
              <w:rPr>
                <w:rFonts w:ascii="??" w:hAnsi="??" w:eastAsia="??"/>
                <w:b w:val="0"/>
                <w:sz w:val="21"/>
              </w:rPr>
              <w:t>深海潜器与深水工程能力</w:t>
            </w:r>
          </w:p>
        </w:tc>
        <w:tc>
          <w:tcPr>
            <w:tcW w:type="dxa" w:w="1190"/>
            <w:vAlign w:val="center"/>
          </w:tcPr>
          <w:p>
            <w:pPr>
              <w:spacing w:line="276" w:lineRule="auto" w:after="0"/>
              <w:ind w:firstLine="0"/>
              <w:jc w:val="center"/>
            </w:pPr>
            <w:r>
              <w:rPr>
                <w:rFonts w:ascii="??" w:hAnsi="??" w:eastAsia="??"/>
                <w:b w:val="0"/>
                <w:sz w:val="21"/>
              </w:rPr>
              <w:t>87</w:t>
            </w:r>
          </w:p>
        </w:tc>
        <w:tc>
          <w:tcPr>
            <w:tcW w:type="dxa" w:w="1190"/>
            <w:vAlign w:val="center"/>
          </w:tcPr>
          <w:p>
            <w:pPr>
              <w:spacing w:line="276" w:lineRule="auto" w:after="0"/>
              <w:ind w:firstLine="0"/>
              <w:jc w:val="center"/>
            </w:pPr>
            <w:r>
              <w:rPr>
                <w:rFonts w:ascii="??" w:hAnsi="??" w:eastAsia="??"/>
                <w:b w:val="0"/>
                <w:sz w:val="21"/>
              </w:rPr>
              <w:t>41.6%</w:t>
            </w:r>
          </w:p>
        </w:tc>
      </w:tr>
      <w:tr>
        <w:tc>
          <w:tcPr>
            <w:tcW w:type="dxa" w:w="680"/>
            <w:vAlign w:val="center"/>
          </w:tcPr>
          <w:p>
            <w:pPr>
              <w:spacing w:line="276" w:lineRule="auto" w:after="0"/>
              <w:ind w:firstLine="0"/>
              <w:jc w:val="center"/>
            </w:pPr>
            <w:r>
              <w:rPr>
                <w:rFonts w:ascii="??" w:hAnsi="??" w:eastAsia="??"/>
                <w:b w:val="0"/>
                <w:sz w:val="21"/>
              </w:rPr>
              <w:t>4</w:t>
            </w:r>
          </w:p>
        </w:tc>
        <w:tc>
          <w:tcPr>
            <w:tcW w:type="dxa" w:w="4876"/>
            <w:vAlign w:val="center"/>
          </w:tcPr>
          <w:p>
            <w:pPr>
              <w:spacing w:line="276" w:lineRule="auto" w:after="0"/>
              <w:ind w:firstLine="0"/>
              <w:jc w:val="left"/>
            </w:pPr>
            <w:r>
              <w:rPr>
                <w:rFonts w:ascii="??" w:hAnsi="??" w:eastAsia="??"/>
                <w:b w:val="0"/>
                <w:sz w:val="21"/>
              </w:rPr>
              <w:t>蓝色生态养殖转化能力</w:t>
            </w:r>
          </w:p>
        </w:tc>
        <w:tc>
          <w:tcPr>
            <w:tcW w:type="dxa" w:w="1190"/>
            <w:vAlign w:val="center"/>
          </w:tcPr>
          <w:p>
            <w:pPr>
              <w:spacing w:line="276" w:lineRule="auto" w:after="0"/>
              <w:ind w:firstLine="0"/>
              <w:jc w:val="center"/>
            </w:pPr>
            <w:r>
              <w:rPr>
                <w:rFonts w:ascii="??" w:hAnsi="??" w:eastAsia="??"/>
                <w:b w:val="0"/>
                <w:sz w:val="21"/>
              </w:rPr>
              <w:t>81</w:t>
            </w:r>
          </w:p>
        </w:tc>
        <w:tc>
          <w:tcPr>
            <w:tcW w:type="dxa" w:w="1190"/>
            <w:vAlign w:val="center"/>
          </w:tcPr>
          <w:p>
            <w:pPr>
              <w:spacing w:line="276" w:lineRule="auto" w:after="0"/>
              <w:ind w:firstLine="0"/>
              <w:jc w:val="center"/>
            </w:pPr>
            <w:r>
              <w:rPr>
                <w:rFonts w:ascii="??" w:hAnsi="??" w:eastAsia="??"/>
                <w:b w:val="0"/>
                <w:sz w:val="21"/>
              </w:rPr>
              <w:t>38.8%</w:t>
            </w:r>
          </w:p>
        </w:tc>
      </w:tr>
      <w:tr>
        <w:tc>
          <w:tcPr>
            <w:tcW w:type="dxa" w:w="680"/>
            <w:vAlign w:val="center"/>
          </w:tcPr>
          <w:p>
            <w:pPr>
              <w:spacing w:line="276" w:lineRule="auto" w:after="0"/>
              <w:ind w:firstLine="0"/>
              <w:jc w:val="center"/>
            </w:pPr>
            <w:r>
              <w:rPr>
                <w:rFonts w:ascii="??" w:hAnsi="??" w:eastAsia="??"/>
                <w:b w:val="0"/>
                <w:sz w:val="21"/>
              </w:rPr>
              <w:t>5</w:t>
            </w:r>
          </w:p>
        </w:tc>
        <w:tc>
          <w:tcPr>
            <w:tcW w:type="dxa" w:w="4876"/>
            <w:vAlign w:val="center"/>
          </w:tcPr>
          <w:p>
            <w:pPr>
              <w:spacing w:line="276" w:lineRule="auto" w:after="0"/>
              <w:ind w:firstLine="0"/>
              <w:jc w:val="left"/>
            </w:pPr>
            <w:r>
              <w:rPr>
                <w:rFonts w:ascii="??" w:hAnsi="??" w:eastAsia="??"/>
                <w:b w:val="0"/>
                <w:sz w:val="21"/>
              </w:rPr>
              <w:t>船港航海与海上作业能力</w:t>
            </w:r>
          </w:p>
        </w:tc>
        <w:tc>
          <w:tcPr>
            <w:tcW w:type="dxa" w:w="1190"/>
            <w:vAlign w:val="center"/>
          </w:tcPr>
          <w:p>
            <w:pPr>
              <w:spacing w:line="276" w:lineRule="auto" w:after="0"/>
              <w:ind w:firstLine="0"/>
              <w:jc w:val="center"/>
            </w:pPr>
            <w:r>
              <w:rPr>
                <w:rFonts w:ascii="??" w:hAnsi="??" w:eastAsia="??"/>
                <w:b w:val="0"/>
                <w:sz w:val="21"/>
              </w:rPr>
              <w:t>80</w:t>
            </w:r>
          </w:p>
        </w:tc>
        <w:tc>
          <w:tcPr>
            <w:tcW w:type="dxa" w:w="1190"/>
            <w:vAlign w:val="center"/>
          </w:tcPr>
          <w:p>
            <w:pPr>
              <w:spacing w:line="276" w:lineRule="auto" w:after="0"/>
              <w:ind w:firstLine="0"/>
              <w:jc w:val="center"/>
            </w:pPr>
            <w:r>
              <w:rPr>
                <w:rFonts w:ascii="??" w:hAnsi="??" w:eastAsia="??"/>
                <w:b w:val="0"/>
                <w:sz w:val="21"/>
              </w:rPr>
              <w:t>38.3%</w:t>
            </w:r>
          </w:p>
        </w:tc>
      </w:tr>
      <w:tr>
        <w:tc>
          <w:tcPr>
            <w:tcW w:type="dxa" w:w="680"/>
            <w:vAlign w:val="center"/>
          </w:tcPr>
          <w:p>
            <w:pPr>
              <w:spacing w:line="276" w:lineRule="auto" w:after="0"/>
              <w:ind w:firstLine="0"/>
              <w:jc w:val="center"/>
            </w:pPr>
            <w:r>
              <w:rPr>
                <w:rFonts w:ascii="??" w:hAnsi="??" w:eastAsia="??"/>
                <w:b w:val="0"/>
                <w:sz w:val="21"/>
              </w:rPr>
              <w:t>6</w:t>
            </w:r>
          </w:p>
        </w:tc>
        <w:tc>
          <w:tcPr>
            <w:tcW w:type="dxa" w:w="4876"/>
            <w:vAlign w:val="center"/>
          </w:tcPr>
          <w:p>
            <w:pPr>
              <w:spacing w:line="276" w:lineRule="auto" w:after="0"/>
              <w:ind w:firstLine="0"/>
              <w:jc w:val="left"/>
            </w:pPr>
            <w:r>
              <w:rPr>
                <w:rFonts w:ascii="??" w:hAnsi="??" w:eastAsia="??"/>
                <w:b w:val="0"/>
                <w:sz w:val="21"/>
              </w:rPr>
              <w:t>海浪环流与风电工程能力</w:t>
            </w:r>
          </w:p>
        </w:tc>
        <w:tc>
          <w:tcPr>
            <w:tcW w:type="dxa" w:w="1190"/>
            <w:vAlign w:val="center"/>
          </w:tcPr>
          <w:p>
            <w:pPr>
              <w:spacing w:line="276" w:lineRule="auto" w:after="0"/>
              <w:ind w:firstLine="0"/>
              <w:jc w:val="center"/>
            </w:pPr>
            <w:r>
              <w:rPr>
                <w:rFonts w:ascii="??" w:hAnsi="??" w:eastAsia="??"/>
                <w:b w:val="0"/>
                <w:sz w:val="21"/>
              </w:rPr>
              <w:t>78</w:t>
            </w:r>
          </w:p>
        </w:tc>
        <w:tc>
          <w:tcPr>
            <w:tcW w:type="dxa" w:w="1190"/>
            <w:vAlign w:val="center"/>
          </w:tcPr>
          <w:p>
            <w:pPr>
              <w:spacing w:line="276" w:lineRule="auto" w:after="0"/>
              <w:ind w:firstLine="0"/>
              <w:jc w:val="center"/>
            </w:pPr>
            <w:r>
              <w:rPr>
                <w:rFonts w:ascii="??" w:hAnsi="??" w:eastAsia="??"/>
                <w:b w:val="0"/>
                <w:sz w:val="21"/>
              </w:rPr>
              <w:t>37.3%</w:t>
            </w:r>
          </w:p>
        </w:tc>
      </w:tr>
      <w:tr>
        <w:tc>
          <w:tcPr>
            <w:tcW w:type="dxa" w:w="680"/>
            <w:vAlign w:val="center"/>
          </w:tcPr>
          <w:p>
            <w:pPr>
              <w:spacing w:line="276" w:lineRule="auto" w:after="0"/>
              <w:ind w:firstLine="0"/>
              <w:jc w:val="center"/>
            </w:pPr>
            <w:r>
              <w:rPr>
                <w:rFonts w:ascii="??" w:hAnsi="??" w:eastAsia="??"/>
                <w:b w:val="0"/>
                <w:sz w:val="21"/>
              </w:rPr>
              <w:t>7</w:t>
            </w:r>
          </w:p>
        </w:tc>
        <w:tc>
          <w:tcPr>
            <w:tcW w:type="dxa" w:w="4876"/>
            <w:vAlign w:val="center"/>
          </w:tcPr>
          <w:p>
            <w:pPr>
              <w:spacing w:line="276" w:lineRule="auto" w:after="0"/>
              <w:ind w:firstLine="0"/>
              <w:jc w:val="left"/>
            </w:pPr>
            <w:r>
              <w:rPr>
                <w:rFonts w:ascii="??" w:hAnsi="??" w:eastAsia="??"/>
                <w:b w:val="0"/>
                <w:sz w:val="21"/>
              </w:rPr>
              <w:t>海气地质与灾害预报能力</w:t>
            </w:r>
          </w:p>
        </w:tc>
        <w:tc>
          <w:tcPr>
            <w:tcW w:type="dxa" w:w="1190"/>
            <w:vAlign w:val="center"/>
          </w:tcPr>
          <w:p>
            <w:pPr>
              <w:spacing w:line="276" w:lineRule="auto" w:after="0"/>
              <w:ind w:firstLine="0"/>
              <w:jc w:val="center"/>
            </w:pPr>
            <w:r>
              <w:rPr>
                <w:rFonts w:ascii="??" w:hAnsi="??" w:eastAsia="??"/>
                <w:b w:val="0"/>
                <w:sz w:val="21"/>
              </w:rPr>
              <w:t>76</w:t>
            </w:r>
          </w:p>
        </w:tc>
        <w:tc>
          <w:tcPr>
            <w:tcW w:type="dxa" w:w="1190"/>
            <w:vAlign w:val="center"/>
          </w:tcPr>
          <w:p>
            <w:pPr>
              <w:spacing w:line="276" w:lineRule="auto" w:after="0"/>
              <w:ind w:firstLine="0"/>
              <w:jc w:val="center"/>
            </w:pPr>
            <w:r>
              <w:rPr>
                <w:rFonts w:ascii="??" w:hAnsi="??" w:eastAsia="??"/>
                <w:b w:val="0"/>
                <w:sz w:val="21"/>
              </w:rPr>
              <w:t>36.4%</w:t>
            </w:r>
          </w:p>
        </w:tc>
      </w:tr>
      <w:tr>
        <w:tc>
          <w:tcPr>
            <w:tcW w:type="dxa" w:w="680"/>
            <w:vAlign w:val="center"/>
          </w:tcPr>
          <w:p>
            <w:pPr>
              <w:spacing w:line="276" w:lineRule="auto" w:after="0"/>
              <w:ind w:firstLine="0"/>
              <w:jc w:val="center"/>
            </w:pPr>
            <w:r>
              <w:rPr>
                <w:rFonts w:ascii="??" w:hAnsi="??" w:eastAsia="??"/>
                <w:b w:val="0"/>
                <w:sz w:val="21"/>
              </w:rPr>
              <w:t>8</w:t>
            </w:r>
          </w:p>
        </w:tc>
        <w:tc>
          <w:tcPr>
            <w:tcW w:type="dxa" w:w="4876"/>
            <w:vAlign w:val="center"/>
          </w:tcPr>
          <w:p>
            <w:pPr>
              <w:spacing w:line="276" w:lineRule="auto" w:after="0"/>
              <w:ind w:firstLine="0"/>
              <w:jc w:val="left"/>
            </w:pPr>
            <w:r>
              <w:rPr>
                <w:rFonts w:ascii="??" w:hAnsi="??" w:eastAsia="??"/>
                <w:b w:val="0"/>
                <w:sz w:val="21"/>
              </w:rPr>
              <w:t>智能装备与立体观测能力</w:t>
            </w:r>
          </w:p>
        </w:tc>
        <w:tc>
          <w:tcPr>
            <w:tcW w:type="dxa" w:w="1190"/>
            <w:vAlign w:val="center"/>
          </w:tcPr>
          <w:p>
            <w:pPr>
              <w:spacing w:line="276" w:lineRule="auto" w:after="0"/>
              <w:ind w:firstLine="0"/>
              <w:jc w:val="center"/>
            </w:pPr>
            <w:r>
              <w:rPr>
                <w:rFonts w:ascii="??" w:hAnsi="??" w:eastAsia="??"/>
                <w:b w:val="0"/>
                <w:sz w:val="21"/>
              </w:rPr>
              <w:t>69</w:t>
            </w:r>
          </w:p>
        </w:tc>
        <w:tc>
          <w:tcPr>
            <w:tcW w:type="dxa" w:w="1190"/>
            <w:vAlign w:val="center"/>
          </w:tcPr>
          <w:p>
            <w:pPr>
              <w:spacing w:line="276" w:lineRule="auto" w:after="0"/>
              <w:ind w:firstLine="0"/>
              <w:jc w:val="center"/>
            </w:pPr>
            <w:r>
              <w:rPr>
                <w:rFonts w:ascii="??" w:hAnsi="??" w:eastAsia="??"/>
                <w:b w:val="0"/>
                <w:sz w:val="21"/>
              </w:rPr>
              <w:t>33.0%</w:t>
            </w:r>
          </w:p>
        </w:tc>
      </w:tr>
      <w:tr>
        <w:tc>
          <w:tcPr>
            <w:tcW w:type="dxa" w:w="680"/>
            <w:vAlign w:val="center"/>
          </w:tcPr>
          <w:p>
            <w:pPr>
              <w:spacing w:line="276" w:lineRule="auto" w:after="0"/>
              <w:ind w:firstLine="0"/>
              <w:jc w:val="center"/>
            </w:pPr>
            <w:r>
              <w:rPr>
                <w:rFonts w:ascii="??" w:hAnsi="??" w:eastAsia="??"/>
                <w:b w:val="0"/>
                <w:sz w:val="21"/>
              </w:rPr>
              <w:t>9</w:t>
            </w:r>
          </w:p>
        </w:tc>
        <w:tc>
          <w:tcPr>
            <w:tcW w:type="dxa" w:w="4876"/>
            <w:vAlign w:val="center"/>
          </w:tcPr>
          <w:p>
            <w:pPr>
              <w:spacing w:line="276" w:lineRule="auto" w:after="0"/>
              <w:ind w:firstLine="0"/>
              <w:jc w:val="left"/>
            </w:pPr>
            <w:r>
              <w:rPr>
                <w:rFonts w:ascii="??" w:hAnsi="??" w:eastAsia="??"/>
                <w:b w:val="0"/>
                <w:sz w:val="21"/>
              </w:rPr>
              <w:t>远洋科考与海权经略能力</w:t>
            </w:r>
          </w:p>
        </w:tc>
        <w:tc>
          <w:tcPr>
            <w:tcW w:type="dxa" w:w="1190"/>
            <w:vAlign w:val="center"/>
          </w:tcPr>
          <w:p>
            <w:pPr>
              <w:spacing w:line="276" w:lineRule="auto" w:after="0"/>
              <w:ind w:firstLine="0"/>
              <w:jc w:val="center"/>
            </w:pPr>
            <w:r>
              <w:rPr>
                <w:rFonts w:ascii="??" w:hAnsi="??" w:eastAsia="??"/>
                <w:b w:val="0"/>
                <w:sz w:val="21"/>
              </w:rPr>
              <w:t>54</w:t>
            </w:r>
          </w:p>
        </w:tc>
        <w:tc>
          <w:tcPr>
            <w:tcW w:type="dxa" w:w="1190"/>
            <w:vAlign w:val="center"/>
          </w:tcPr>
          <w:p>
            <w:pPr>
              <w:spacing w:line="276" w:lineRule="auto" w:after="0"/>
              <w:ind w:firstLine="0"/>
              <w:jc w:val="center"/>
            </w:pPr>
            <w:r>
              <w:rPr>
                <w:rFonts w:ascii="??" w:hAnsi="??" w:eastAsia="??"/>
                <w:b w:val="0"/>
                <w:sz w:val="21"/>
              </w:rPr>
              <w:t>25.8%</w:t>
            </w:r>
          </w:p>
        </w:tc>
      </w:tr>
      <w:tr>
        <w:tc>
          <w:tcPr>
            <w:tcW w:type="dxa" w:w="680"/>
            <w:vAlign w:val="center"/>
          </w:tcPr>
          <w:p>
            <w:pPr>
              <w:spacing w:line="276" w:lineRule="auto" w:after="0"/>
              <w:ind w:firstLine="0"/>
              <w:jc w:val="center"/>
            </w:pPr>
            <w:r>
              <w:rPr>
                <w:rFonts w:ascii="??" w:hAnsi="??" w:eastAsia="??"/>
                <w:b w:val="0"/>
                <w:sz w:val="21"/>
              </w:rPr>
              <w:t>10</w:t>
            </w:r>
          </w:p>
        </w:tc>
        <w:tc>
          <w:tcPr>
            <w:tcW w:type="dxa" w:w="4876"/>
            <w:vAlign w:val="center"/>
          </w:tcPr>
          <w:p>
            <w:pPr>
              <w:spacing w:line="276" w:lineRule="auto" w:after="0"/>
              <w:ind w:firstLine="0"/>
              <w:jc w:val="left"/>
            </w:pPr>
            <w:r>
              <w:rPr>
                <w:rFonts w:ascii="??" w:hAnsi="??" w:eastAsia="??"/>
                <w:b w:val="0"/>
                <w:sz w:val="21"/>
              </w:rPr>
              <w:t>卫星遥感与智慧感知能力</w:t>
            </w:r>
          </w:p>
        </w:tc>
        <w:tc>
          <w:tcPr>
            <w:tcW w:type="dxa" w:w="1190"/>
            <w:vAlign w:val="center"/>
          </w:tcPr>
          <w:p>
            <w:pPr>
              <w:spacing w:line="276" w:lineRule="auto" w:after="0"/>
              <w:ind w:firstLine="0"/>
              <w:jc w:val="center"/>
            </w:pPr>
            <w:r>
              <w:rPr>
                <w:rFonts w:ascii="??" w:hAnsi="??" w:eastAsia="??"/>
                <w:b w:val="0"/>
                <w:sz w:val="21"/>
              </w:rPr>
              <w:t>52</w:t>
            </w:r>
          </w:p>
        </w:tc>
        <w:tc>
          <w:tcPr>
            <w:tcW w:type="dxa" w:w="1190"/>
            <w:vAlign w:val="center"/>
          </w:tcPr>
          <w:p>
            <w:pPr>
              <w:spacing w:line="276" w:lineRule="auto" w:after="0"/>
              <w:ind w:firstLine="0"/>
              <w:jc w:val="center"/>
            </w:pPr>
            <w:r>
              <w:rPr>
                <w:rFonts w:ascii="??" w:hAnsi="??" w:eastAsia="??"/>
                <w:b w:val="0"/>
                <w:sz w:val="21"/>
              </w:rPr>
              <w:t>24.9%</w:t>
            </w:r>
          </w:p>
        </w:tc>
      </w:tr>
      <w:tr>
        <w:tc>
          <w:tcPr>
            <w:tcW w:type="dxa" w:w="680"/>
            <w:vAlign w:val="center"/>
          </w:tcPr>
          <w:p>
            <w:pPr>
              <w:spacing w:line="276" w:lineRule="auto" w:after="0"/>
              <w:ind w:firstLine="0"/>
              <w:jc w:val="center"/>
            </w:pPr>
            <w:r>
              <w:rPr>
                <w:rFonts w:ascii="??" w:hAnsi="??" w:eastAsia="??"/>
                <w:b w:val="0"/>
                <w:sz w:val="21"/>
              </w:rPr>
              <w:t>11</w:t>
            </w:r>
          </w:p>
        </w:tc>
        <w:tc>
          <w:tcPr>
            <w:tcW w:type="dxa" w:w="4876"/>
            <w:vAlign w:val="center"/>
          </w:tcPr>
          <w:p>
            <w:pPr>
              <w:spacing w:line="276" w:lineRule="auto" w:after="0"/>
              <w:ind w:firstLine="0"/>
              <w:jc w:val="left"/>
            </w:pPr>
            <w:r>
              <w:rPr>
                <w:rFonts w:ascii="??" w:hAnsi="??" w:eastAsia="??"/>
                <w:b w:val="0"/>
                <w:sz w:val="21"/>
              </w:rPr>
              <w:t>极地冰区热液冷泉探测能力</w:t>
            </w:r>
          </w:p>
        </w:tc>
        <w:tc>
          <w:tcPr>
            <w:tcW w:type="dxa" w:w="1190"/>
            <w:vAlign w:val="center"/>
          </w:tcPr>
          <w:p>
            <w:pPr>
              <w:spacing w:line="276" w:lineRule="auto" w:after="0"/>
              <w:ind w:firstLine="0"/>
              <w:jc w:val="center"/>
            </w:pPr>
            <w:r>
              <w:rPr>
                <w:rFonts w:ascii="??" w:hAnsi="??" w:eastAsia="??"/>
                <w:b w:val="0"/>
                <w:sz w:val="21"/>
              </w:rPr>
              <w:t>47</w:t>
            </w:r>
          </w:p>
        </w:tc>
        <w:tc>
          <w:tcPr>
            <w:tcW w:type="dxa" w:w="1190"/>
            <w:vAlign w:val="center"/>
          </w:tcPr>
          <w:p>
            <w:pPr>
              <w:spacing w:line="276" w:lineRule="auto" w:after="0"/>
              <w:ind w:firstLine="0"/>
              <w:jc w:val="center"/>
            </w:pPr>
            <w:r>
              <w:rPr>
                <w:rFonts w:ascii="??" w:hAnsi="??" w:eastAsia="??"/>
                <w:b w:val="0"/>
                <w:sz w:val="21"/>
              </w:rPr>
              <w:t>22.5%</w:t>
            </w:r>
          </w:p>
        </w:tc>
      </w:tr>
      <w:tr>
        <w:tc>
          <w:tcPr>
            <w:tcW w:type="dxa" w:w="680"/>
            <w:vAlign w:val="center"/>
          </w:tcPr>
          <w:p>
            <w:pPr>
              <w:spacing w:line="276" w:lineRule="auto" w:after="0"/>
              <w:ind w:firstLine="0"/>
              <w:jc w:val="center"/>
            </w:pPr>
            <w:r>
              <w:rPr>
                <w:rFonts w:ascii="??" w:hAnsi="??" w:eastAsia="??"/>
                <w:b w:val="0"/>
                <w:sz w:val="21"/>
              </w:rPr>
              <w:t>12</w:t>
            </w:r>
          </w:p>
        </w:tc>
        <w:tc>
          <w:tcPr>
            <w:tcW w:type="dxa" w:w="4876"/>
            <w:vAlign w:val="center"/>
          </w:tcPr>
          <w:p>
            <w:pPr>
              <w:spacing w:line="276" w:lineRule="auto" w:after="0"/>
              <w:ind w:firstLine="0"/>
              <w:jc w:val="left"/>
            </w:pPr>
            <w:r>
              <w:rPr>
                <w:rFonts w:ascii="??" w:hAnsi="??" w:eastAsia="??"/>
                <w:b w:val="0"/>
                <w:sz w:val="21"/>
              </w:rPr>
              <w:t>水产生物种业开发能力</w:t>
            </w:r>
          </w:p>
        </w:tc>
        <w:tc>
          <w:tcPr>
            <w:tcW w:type="dxa" w:w="1190"/>
            <w:vAlign w:val="center"/>
          </w:tcPr>
          <w:p>
            <w:pPr>
              <w:spacing w:line="276" w:lineRule="auto" w:after="0"/>
              <w:ind w:firstLine="0"/>
              <w:jc w:val="center"/>
            </w:pPr>
            <w:r>
              <w:rPr>
                <w:rFonts w:ascii="??" w:hAnsi="??" w:eastAsia="??"/>
                <w:b w:val="0"/>
                <w:sz w:val="21"/>
              </w:rPr>
              <w:t>39</w:t>
            </w:r>
          </w:p>
        </w:tc>
        <w:tc>
          <w:tcPr>
            <w:tcW w:type="dxa" w:w="1190"/>
            <w:vAlign w:val="center"/>
          </w:tcPr>
          <w:p>
            <w:pPr>
              <w:spacing w:line="276" w:lineRule="auto" w:after="0"/>
              <w:ind w:firstLine="0"/>
              <w:jc w:val="center"/>
            </w:pPr>
            <w:r>
              <w:rPr>
                <w:rFonts w:ascii="??" w:hAnsi="??" w:eastAsia="??"/>
                <w:b w:val="0"/>
                <w:sz w:val="21"/>
              </w:rPr>
              <w:t>18.7%</w:t>
            </w:r>
          </w:p>
        </w:tc>
      </w:tr>
      <w:tr>
        <w:tc>
          <w:tcPr>
            <w:tcW w:type="dxa" w:w="680"/>
            <w:vAlign w:val="center"/>
          </w:tcPr>
          <w:p>
            <w:pPr>
              <w:spacing w:line="276" w:lineRule="auto" w:after="0"/>
              <w:ind w:firstLine="0"/>
              <w:jc w:val="center"/>
            </w:pPr>
            <w:r>
              <w:rPr>
                <w:rFonts w:ascii="??" w:hAnsi="??" w:eastAsia="??"/>
                <w:b w:val="0"/>
                <w:sz w:val="21"/>
              </w:rPr>
              <w:t>13</w:t>
            </w:r>
          </w:p>
        </w:tc>
        <w:tc>
          <w:tcPr>
            <w:tcW w:type="dxa" w:w="4876"/>
            <w:vAlign w:val="center"/>
          </w:tcPr>
          <w:p>
            <w:pPr>
              <w:spacing w:line="276" w:lineRule="auto" w:after="0"/>
              <w:ind w:firstLine="0"/>
              <w:jc w:val="left"/>
            </w:pPr>
            <w:r>
              <w:rPr>
                <w:rFonts w:ascii="??" w:hAnsi="??" w:eastAsia="??"/>
                <w:b w:val="0"/>
                <w:sz w:val="21"/>
              </w:rPr>
              <w:t>蓝色医药与生态保育能力</w:t>
            </w:r>
          </w:p>
        </w:tc>
        <w:tc>
          <w:tcPr>
            <w:tcW w:type="dxa" w:w="1190"/>
            <w:vAlign w:val="center"/>
          </w:tcPr>
          <w:p>
            <w:pPr>
              <w:spacing w:line="276" w:lineRule="auto" w:after="0"/>
              <w:ind w:firstLine="0"/>
              <w:jc w:val="center"/>
            </w:pPr>
            <w:r>
              <w:rPr>
                <w:rFonts w:ascii="??" w:hAnsi="??" w:eastAsia="??"/>
                <w:b w:val="0"/>
                <w:sz w:val="21"/>
              </w:rPr>
              <w:t>31</w:t>
            </w:r>
          </w:p>
        </w:tc>
        <w:tc>
          <w:tcPr>
            <w:tcW w:type="dxa" w:w="1190"/>
            <w:vAlign w:val="center"/>
          </w:tcPr>
          <w:p>
            <w:pPr>
              <w:spacing w:line="276" w:lineRule="auto" w:after="0"/>
              <w:ind w:firstLine="0"/>
              <w:jc w:val="center"/>
            </w:pPr>
            <w:r>
              <w:rPr>
                <w:rFonts w:ascii="??" w:hAnsi="??" w:eastAsia="??"/>
                <w:b w:val="0"/>
                <w:sz w:val="21"/>
              </w:rPr>
              <w:t>14.8%</w:t>
            </w:r>
          </w:p>
        </w:tc>
      </w:tr>
      <w:tr>
        <w:tc>
          <w:tcPr>
            <w:tcW w:type="dxa" w:w="680"/>
            <w:vAlign w:val="center"/>
          </w:tcPr>
          <w:p>
            <w:pPr>
              <w:spacing w:line="276" w:lineRule="auto" w:after="0"/>
              <w:ind w:firstLine="0"/>
              <w:jc w:val="center"/>
            </w:pPr>
            <w:r>
              <w:rPr>
                <w:rFonts w:ascii="??" w:hAnsi="??" w:eastAsia="??"/>
                <w:b w:val="0"/>
                <w:sz w:val="21"/>
              </w:rPr>
              <w:t>14</w:t>
            </w:r>
          </w:p>
        </w:tc>
        <w:tc>
          <w:tcPr>
            <w:tcW w:type="dxa" w:w="4876"/>
            <w:vAlign w:val="center"/>
          </w:tcPr>
          <w:p>
            <w:pPr>
              <w:spacing w:line="276" w:lineRule="auto" w:after="0"/>
              <w:ind w:firstLine="0"/>
              <w:jc w:val="left"/>
            </w:pPr>
            <w:r>
              <w:rPr>
                <w:rFonts w:ascii="??" w:hAnsi="??" w:eastAsia="??"/>
                <w:b w:val="0"/>
                <w:sz w:val="21"/>
              </w:rPr>
              <w:t>油气勘探与溢油应急能力</w:t>
            </w:r>
          </w:p>
        </w:tc>
        <w:tc>
          <w:tcPr>
            <w:tcW w:type="dxa" w:w="1190"/>
            <w:vAlign w:val="center"/>
          </w:tcPr>
          <w:p>
            <w:pPr>
              <w:spacing w:line="276" w:lineRule="auto" w:after="0"/>
              <w:ind w:firstLine="0"/>
              <w:jc w:val="center"/>
            </w:pPr>
            <w:r>
              <w:rPr>
                <w:rFonts w:ascii="??" w:hAnsi="??" w:eastAsia="??"/>
                <w:b w:val="0"/>
                <w:sz w:val="21"/>
              </w:rPr>
              <w:t>23</w:t>
            </w:r>
          </w:p>
        </w:tc>
        <w:tc>
          <w:tcPr>
            <w:tcW w:type="dxa" w:w="1190"/>
            <w:vAlign w:val="center"/>
          </w:tcPr>
          <w:p>
            <w:pPr>
              <w:spacing w:line="276" w:lineRule="auto" w:after="0"/>
              <w:ind w:firstLine="0"/>
              <w:jc w:val="center"/>
            </w:pPr>
            <w:r>
              <w:rPr>
                <w:rFonts w:ascii="??" w:hAnsi="??" w:eastAsia="??"/>
                <w:b w:val="0"/>
                <w:sz w:val="21"/>
              </w:rPr>
              <w:t>11.0%</w:t>
            </w:r>
          </w:p>
        </w:tc>
      </w:tr>
    </w:tbl>
    <w:p>
      <w:pPr>
        <w:ind w:firstLine="0"/>
      </w:pPr>
    </w:p>
    <w:p>
      <w:pPr/>
      <w:r>
        <w:rPr>
          <w:rFonts w:ascii="??" w:hAnsi="??" w:eastAsia="??"/>
          <w:b w:val="0"/>
          <w:sz w:val="24"/>
        </w:rPr>
        <w:t>从结构上看，外层能力呈现明显的海洋场景分化。一类面向深海与工程装备，如深海潜器、智能装备、油气勘探和深水工程；一类面向生命资源与生态应用，如生态养殖、水产种业、蓝色医药和生态保育；一类面向海洋环境认知与预警服务，如海浪环流、海气地质、卫星遥感和灾害预报；还有一类面向科教治理、平台组织和海权经略。这种分化说明海洋科技人才的创造性成果并不集中在单一学科，而是嵌入不同国家海洋任务场景。</w:t>
      </w:r>
    </w:p>
    <w:p>
      <w:pPr>
        <w:pStyle w:val="Heading2"/>
        <w:ind w:firstLine="0"/>
        <w:jc w:val="left"/>
      </w:pPr>
      <w:r>
        <w:rPr>
          <w:rFonts w:ascii="??" w:hAnsi="??" w:eastAsia="??"/>
          <w:b/>
          <w:sz w:val="28"/>
        </w:rPr>
        <w:t>（二）协同创新支撑维度：把复杂海洋任务做成的过程能力</w:t>
      </w:r>
    </w:p>
    <w:p>
      <w:pPr/>
      <w:r>
        <w:rPr>
          <w:rFonts w:ascii="??" w:hAnsi="??" w:eastAsia="??"/>
          <w:b w:val="0"/>
          <w:sz w:val="24"/>
        </w:rPr>
        <w:t>中层能力共识别出6项主题，覆盖率明显高于多数外层主题。其中，跨学科产学研转化能力覆盖193人，占92.3%；实地验证与现场调查能力覆盖156人，占74.6%；数值建模与模拟验证能力覆盖155人，占74.2%；系统集成与标准化能力覆盖139人，占66.5%。这表明海洋科技人才普遍不是单纯依靠个人专业知识取得成果，而是依赖跨界协同、现场验证、模型推演和系统工程等过程能力。</w:t>
      </w:r>
    </w:p>
    <w:p>
      <w:pPr/>
      <w:r>
        <w:rPr>
          <w:rFonts w:ascii="??" w:hAnsi="??" w:eastAsia="??"/>
          <w:b/>
          <w:sz w:val="24"/>
        </w:rPr>
        <w:t>表2 协同创新支撑维度主题</w:t>
      </w:r>
    </w:p>
    <w:tbl>
      <w:tblPr>
        <w:tblStyle w:val="TableGrid"/>
        <w:tblW w:type="auto" w:w="0"/>
        <w:jc w:val="center"/>
        <w:tblLayout w:type="autofit"/>
        <w:tblLook w:firstColumn="1" w:firstRow="1" w:lastColumn="0" w:lastRow="0" w:noHBand="0" w:noVBand="1" w:val="04A0"/>
      </w:tblPr>
      <w:tblGrid>
        <w:gridCol w:w="2161"/>
        <w:gridCol w:w="2161"/>
        <w:gridCol w:w="2161"/>
        <w:gridCol w:w="2161"/>
      </w:tblGrid>
      <w:tr>
        <w:tc>
          <w:tcPr>
            <w:tcW w:type="dxa" w:w="680"/>
            <w:vAlign w:val="center"/>
            <w:shd w:fill="D9EAF7"/>
          </w:tcPr>
          <w:p>
            <w:pPr>
              <w:spacing w:line="276" w:lineRule="auto" w:after="0"/>
              <w:ind w:firstLine="0"/>
              <w:jc w:val="center"/>
            </w:pPr>
            <w:r>
              <w:rPr>
                <w:rFonts w:ascii="??" w:hAnsi="??" w:eastAsia="??"/>
                <w:b/>
                <w:sz w:val="21"/>
              </w:rPr>
              <w:t>序号</w:t>
            </w:r>
          </w:p>
        </w:tc>
        <w:tc>
          <w:tcPr>
            <w:tcW w:type="dxa" w:w="4876"/>
            <w:vAlign w:val="center"/>
            <w:shd w:fill="D9EAF7"/>
          </w:tcPr>
          <w:p>
            <w:pPr>
              <w:spacing w:line="276" w:lineRule="auto" w:after="0"/>
              <w:ind w:firstLine="0"/>
              <w:jc w:val="center"/>
            </w:pPr>
            <w:r>
              <w:rPr>
                <w:rFonts w:ascii="??" w:hAnsi="??" w:eastAsia="??"/>
                <w:b/>
                <w:sz w:val="21"/>
              </w:rPr>
              <w:t>能力主题</w:t>
            </w:r>
          </w:p>
        </w:tc>
        <w:tc>
          <w:tcPr>
            <w:tcW w:type="dxa" w:w="1190"/>
            <w:vAlign w:val="center"/>
            <w:shd w:fill="D9EAF7"/>
          </w:tcPr>
          <w:p>
            <w:pPr>
              <w:spacing w:line="276" w:lineRule="auto" w:after="0"/>
              <w:ind w:firstLine="0"/>
              <w:jc w:val="center"/>
            </w:pPr>
            <w:r>
              <w:rPr>
                <w:rFonts w:ascii="??" w:hAnsi="??" w:eastAsia="??"/>
                <w:b/>
                <w:sz w:val="21"/>
              </w:rPr>
              <w:t>覆盖人数</w:t>
            </w:r>
          </w:p>
        </w:tc>
        <w:tc>
          <w:tcPr>
            <w:tcW w:type="dxa" w:w="1190"/>
            <w:vAlign w:val="center"/>
            <w:shd w:fill="D9EAF7"/>
          </w:tcPr>
          <w:p>
            <w:pPr>
              <w:spacing w:line="276" w:lineRule="auto" w:after="0"/>
              <w:ind w:firstLine="0"/>
              <w:jc w:val="center"/>
            </w:pPr>
            <w:r>
              <w:rPr>
                <w:rFonts w:ascii="??" w:hAnsi="??" w:eastAsia="??"/>
                <w:b/>
                <w:sz w:val="21"/>
              </w:rPr>
              <w:t>占比</w:t>
            </w:r>
          </w:p>
        </w:tc>
      </w:tr>
      <w:tr>
        <w:tc>
          <w:tcPr>
            <w:tcW w:type="dxa" w:w="680"/>
            <w:vAlign w:val="center"/>
          </w:tcPr>
          <w:p>
            <w:pPr>
              <w:spacing w:line="276" w:lineRule="auto" w:after="0"/>
              <w:ind w:firstLine="0"/>
              <w:jc w:val="center"/>
            </w:pPr>
            <w:r>
              <w:rPr>
                <w:rFonts w:ascii="??" w:hAnsi="??" w:eastAsia="??"/>
                <w:b w:val="0"/>
                <w:sz w:val="21"/>
              </w:rPr>
              <w:t>1</w:t>
            </w:r>
          </w:p>
        </w:tc>
        <w:tc>
          <w:tcPr>
            <w:tcW w:type="dxa" w:w="4876"/>
            <w:vAlign w:val="center"/>
          </w:tcPr>
          <w:p>
            <w:pPr>
              <w:spacing w:line="276" w:lineRule="auto" w:after="0"/>
              <w:ind w:firstLine="0"/>
              <w:jc w:val="left"/>
            </w:pPr>
            <w:r>
              <w:rPr>
                <w:rFonts w:ascii="??" w:hAnsi="??" w:eastAsia="??"/>
                <w:b w:val="0"/>
                <w:sz w:val="21"/>
              </w:rPr>
              <w:t>跨学科产学研转化能力</w:t>
            </w:r>
          </w:p>
        </w:tc>
        <w:tc>
          <w:tcPr>
            <w:tcW w:type="dxa" w:w="1190"/>
            <w:vAlign w:val="center"/>
          </w:tcPr>
          <w:p>
            <w:pPr>
              <w:spacing w:line="276" w:lineRule="auto" w:after="0"/>
              <w:ind w:firstLine="0"/>
              <w:jc w:val="center"/>
            </w:pPr>
            <w:r>
              <w:rPr>
                <w:rFonts w:ascii="??" w:hAnsi="??" w:eastAsia="??"/>
                <w:b w:val="0"/>
                <w:sz w:val="21"/>
              </w:rPr>
              <w:t>193</w:t>
            </w:r>
          </w:p>
        </w:tc>
        <w:tc>
          <w:tcPr>
            <w:tcW w:type="dxa" w:w="1190"/>
            <w:vAlign w:val="center"/>
          </w:tcPr>
          <w:p>
            <w:pPr>
              <w:spacing w:line="276" w:lineRule="auto" w:after="0"/>
              <w:ind w:firstLine="0"/>
              <w:jc w:val="center"/>
            </w:pPr>
            <w:r>
              <w:rPr>
                <w:rFonts w:ascii="??" w:hAnsi="??" w:eastAsia="??"/>
                <w:b w:val="0"/>
                <w:sz w:val="21"/>
              </w:rPr>
              <w:t>92.3%</w:t>
            </w:r>
          </w:p>
        </w:tc>
      </w:tr>
      <w:tr>
        <w:tc>
          <w:tcPr>
            <w:tcW w:type="dxa" w:w="680"/>
            <w:vAlign w:val="center"/>
          </w:tcPr>
          <w:p>
            <w:pPr>
              <w:spacing w:line="276" w:lineRule="auto" w:after="0"/>
              <w:ind w:firstLine="0"/>
              <w:jc w:val="center"/>
            </w:pPr>
            <w:r>
              <w:rPr>
                <w:rFonts w:ascii="??" w:hAnsi="??" w:eastAsia="??"/>
                <w:b w:val="0"/>
                <w:sz w:val="21"/>
              </w:rPr>
              <w:t>2</w:t>
            </w:r>
          </w:p>
        </w:tc>
        <w:tc>
          <w:tcPr>
            <w:tcW w:type="dxa" w:w="4876"/>
            <w:vAlign w:val="center"/>
          </w:tcPr>
          <w:p>
            <w:pPr>
              <w:spacing w:line="276" w:lineRule="auto" w:after="0"/>
              <w:ind w:firstLine="0"/>
              <w:jc w:val="left"/>
            </w:pPr>
            <w:r>
              <w:rPr>
                <w:rFonts w:ascii="??" w:hAnsi="??" w:eastAsia="??"/>
                <w:b w:val="0"/>
                <w:sz w:val="21"/>
              </w:rPr>
              <w:t>实地验证与现场调查能力</w:t>
            </w:r>
          </w:p>
        </w:tc>
        <w:tc>
          <w:tcPr>
            <w:tcW w:type="dxa" w:w="1190"/>
            <w:vAlign w:val="center"/>
          </w:tcPr>
          <w:p>
            <w:pPr>
              <w:spacing w:line="276" w:lineRule="auto" w:after="0"/>
              <w:ind w:firstLine="0"/>
              <w:jc w:val="center"/>
            </w:pPr>
            <w:r>
              <w:rPr>
                <w:rFonts w:ascii="??" w:hAnsi="??" w:eastAsia="??"/>
                <w:b w:val="0"/>
                <w:sz w:val="21"/>
              </w:rPr>
              <w:t>156</w:t>
            </w:r>
          </w:p>
        </w:tc>
        <w:tc>
          <w:tcPr>
            <w:tcW w:type="dxa" w:w="1190"/>
            <w:vAlign w:val="center"/>
          </w:tcPr>
          <w:p>
            <w:pPr>
              <w:spacing w:line="276" w:lineRule="auto" w:after="0"/>
              <w:ind w:firstLine="0"/>
              <w:jc w:val="center"/>
            </w:pPr>
            <w:r>
              <w:rPr>
                <w:rFonts w:ascii="??" w:hAnsi="??" w:eastAsia="??"/>
                <w:b w:val="0"/>
                <w:sz w:val="21"/>
              </w:rPr>
              <w:t>74.6%</w:t>
            </w:r>
          </w:p>
        </w:tc>
      </w:tr>
      <w:tr>
        <w:tc>
          <w:tcPr>
            <w:tcW w:type="dxa" w:w="680"/>
            <w:vAlign w:val="center"/>
          </w:tcPr>
          <w:p>
            <w:pPr>
              <w:spacing w:line="276" w:lineRule="auto" w:after="0"/>
              <w:ind w:firstLine="0"/>
              <w:jc w:val="center"/>
            </w:pPr>
            <w:r>
              <w:rPr>
                <w:rFonts w:ascii="??" w:hAnsi="??" w:eastAsia="??"/>
                <w:b w:val="0"/>
                <w:sz w:val="21"/>
              </w:rPr>
              <w:t>3</w:t>
            </w:r>
          </w:p>
        </w:tc>
        <w:tc>
          <w:tcPr>
            <w:tcW w:type="dxa" w:w="4876"/>
            <w:vAlign w:val="center"/>
          </w:tcPr>
          <w:p>
            <w:pPr>
              <w:spacing w:line="276" w:lineRule="auto" w:after="0"/>
              <w:ind w:firstLine="0"/>
              <w:jc w:val="left"/>
            </w:pPr>
            <w:r>
              <w:rPr>
                <w:rFonts w:ascii="??" w:hAnsi="??" w:eastAsia="??"/>
                <w:b w:val="0"/>
                <w:sz w:val="21"/>
              </w:rPr>
              <w:t>数值建模与模拟验证能力</w:t>
            </w:r>
          </w:p>
        </w:tc>
        <w:tc>
          <w:tcPr>
            <w:tcW w:type="dxa" w:w="1190"/>
            <w:vAlign w:val="center"/>
          </w:tcPr>
          <w:p>
            <w:pPr>
              <w:spacing w:line="276" w:lineRule="auto" w:after="0"/>
              <w:ind w:firstLine="0"/>
              <w:jc w:val="center"/>
            </w:pPr>
            <w:r>
              <w:rPr>
                <w:rFonts w:ascii="??" w:hAnsi="??" w:eastAsia="??"/>
                <w:b w:val="0"/>
                <w:sz w:val="21"/>
              </w:rPr>
              <w:t>155</w:t>
            </w:r>
          </w:p>
        </w:tc>
        <w:tc>
          <w:tcPr>
            <w:tcW w:type="dxa" w:w="1190"/>
            <w:vAlign w:val="center"/>
          </w:tcPr>
          <w:p>
            <w:pPr>
              <w:spacing w:line="276" w:lineRule="auto" w:after="0"/>
              <w:ind w:firstLine="0"/>
              <w:jc w:val="center"/>
            </w:pPr>
            <w:r>
              <w:rPr>
                <w:rFonts w:ascii="??" w:hAnsi="??" w:eastAsia="??"/>
                <w:b w:val="0"/>
                <w:sz w:val="21"/>
              </w:rPr>
              <w:t>74.2%</w:t>
            </w:r>
          </w:p>
        </w:tc>
      </w:tr>
      <w:tr>
        <w:tc>
          <w:tcPr>
            <w:tcW w:type="dxa" w:w="680"/>
            <w:vAlign w:val="center"/>
          </w:tcPr>
          <w:p>
            <w:pPr>
              <w:spacing w:line="276" w:lineRule="auto" w:after="0"/>
              <w:ind w:firstLine="0"/>
              <w:jc w:val="center"/>
            </w:pPr>
            <w:r>
              <w:rPr>
                <w:rFonts w:ascii="??" w:hAnsi="??" w:eastAsia="??"/>
                <w:b w:val="0"/>
                <w:sz w:val="21"/>
              </w:rPr>
              <w:t>4</w:t>
            </w:r>
          </w:p>
        </w:tc>
        <w:tc>
          <w:tcPr>
            <w:tcW w:type="dxa" w:w="4876"/>
            <w:vAlign w:val="center"/>
          </w:tcPr>
          <w:p>
            <w:pPr>
              <w:spacing w:line="276" w:lineRule="auto" w:after="0"/>
              <w:ind w:firstLine="0"/>
              <w:jc w:val="left"/>
            </w:pPr>
            <w:r>
              <w:rPr>
                <w:rFonts w:ascii="??" w:hAnsi="??" w:eastAsia="??"/>
                <w:b w:val="0"/>
                <w:sz w:val="21"/>
              </w:rPr>
              <w:t>系统集成与标准化能力</w:t>
            </w:r>
          </w:p>
        </w:tc>
        <w:tc>
          <w:tcPr>
            <w:tcW w:type="dxa" w:w="1190"/>
            <w:vAlign w:val="center"/>
          </w:tcPr>
          <w:p>
            <w:pPr>
              <w:spacing w:line="276" w:lineRule="auto" w:after="0"/>
              <w:ind w:firstLine="0"/>
              <w:jc w:val="center"/>
            </w:pPr>
            <w:r>
              <w:rPr>
                <w:rFonts w:ascii="??" w:hAnsi="??" w:eastAsia="??"/>
                <w:b w:val="0"/>
                <w:sz w:val="21"/>
              </w:rPr>
              <w:t>139</w:t>
            </w:r>
          </w:p>
        </w:tc>
        <w:tc>
          <w:tcPr>
            <w:tcW w:type="dxa" w:w="1190"/>
            <w:vAlign w:val="center"/>
          </w:tcPr>
          <w:p>
            <w:pPr>
              <w:spacing w:line="276" w:lineRule="auto" w:after="0"/>
              <w:ind w:firstLine="0"/>
              <w:jc w:val="center"/>
            </w:pPr>
            <w:r>
              <w:rPr>
                <w:rFonts w:ascii="??" w:hAnsi="??" w:eastAsia="??"/>
                <w:b w:val="0"/>
                <w:sz w:val="21"/>
              </w:rPr>
              <w:t>66.5%</w:t>
            </w:r>
          </w:p>
        </w:tc>
      </w:tr>
      <w:tr>
        <w:tc>
          <w:tcPr>
            <w:tcW w:type="dxa" w:w="680"/>
            <w:vAlign w:val="center"/>
          </w:tcPr>
          <w:p>
            <w:pPr>
              <w:spacing w:line="276" w:lineRule="auto" w:after="0"/>
              <w:ind w:firstLine="0"/>
              <w:jc w:val="center"/>
            </w:pPr>
            <w:r>
              <w:rPr>
                <w:rFonts w:ascii="??" w:hAnsi="??" w:eastAsia="??"/>
                <w:b w:val="0"/>
                <w:sz w:val="21"/>
              </w:rPr>
              <w:t>5</w:t>
            </w:r>
          </w:p>
        </w:tc>
        <w:tc>
          <w:tcPr>
            <w:tcW w:type="dxa" w:w="4876"/>
            <w:vAlign w:val="center"/>
          </w:tcPr>
          <w:p>
            <w:pPr>
              <w:spacing w:line="276" w:lineRule="auto" w:after="0"/>
              <w:ind w:firstLine="0"/>
              <w:jc w:val="left"/>
            </w:pPr>
            <w:r>
              <w:rPr>
                <w:rFonts w:ascii="??" w:hAnsi="??" w:eastAsia="??"/>
                <w:b w:val="0"/>
                <w:sz w:val="21"/>
              </w:rPr>
              <w:t>国际科研协作组织能力</w:t>
            </w:r>
          </w:p>
        </w:tc>
        <w:tc>
          <w:tcPr>
            <w:tcW w:type="dxa" w:w="1190"/>
            <w:vAlign w:val="center"/>
          </w:tcPr>
          <w:p>
            <w:pPr>
              <w:spacing w:line="276" w:lineRule="auto" w:after="0"/>
              <w:ind w:firstLine="0"/>
              <w:jc w:val="center"/>
            </w:pPr>
            <w:r>
              <w:rPr>
                <w:rFonts w:ascii="??" w:hAnsi="??" w:eastAsia="??"/>
                <w:b w:val="0"/>
                <w:sz w:val="21"/>
              </w:rPr>
              <w:t>98</w:t>
            </w:r>
          </w:p>
        </w:tc>
        <w:tc>
          <w:tcPr>
            <w:tcW w:type="dxa" w:w="1190"/>
            <w:vAlign w:val="center"/>
          </w:tcPr>
          <w:p>
            <w:pPr>
              <w:spacing w:line="276" w:lineRule="auto" w:after="0"/>
              <w:ind w:firstLine="0"/>
              <w:jc w:val="center"/>
            </w:pPr>
            <w:r>
              <w:rPr>
                <w:rFonts w:ascii="??" w:hAnsi="??" w:eastAsia="??"/>
                <w:b w:val="0"/>
                <w:sz w:val="21"/>
              </w:rPr>
              <w:t>46.9%</w:t>
            </w:r>
          </w:p>
        </w:tc>
      </w:tr>
      <w:tr>
        <w:tc>
          <w:tcPr>
            <w:tcW w:type="dxa" w:w="680"/>
            <w:vAlign w:val="center"/>
          </w:tcPr>
          <w:p>
            <w:pPr>
              <w:spacing w:line="276" w:lineRule="auto" w:after="0"/>
              <w:ind w:firstLine="0"/>
              <w:jc w:val="center"/>
            </w:pPr>
            <w:r>
              <w:rPr>
                <w:rFonts w:ascii="??" w:hAnsi="??" w:eastAsia="??"/>
                <w:b w:val="0"/>
                <w:sz w:val="21"/>
              </w:rPr>
              <w:t>6</w:t>
            </w:r>
          </w:p>
        </w:tc>
        <w:tc>
          <w:tcPr>
            <w:tcW w:type="dxa" w:w="4876"/>
            <w:vAlign w:val="center"/>
          </w:tcPr>
          <w:p>
            <w:pPr>
              <w:spacing w:line="276" w:lineRule="auto" w:after="0"/>
              <w:ind w:firstLine="0"/>
              <w:jc w:val="left"/>
            </w:pPr>
            <w:r>
              <w:rPr>
                <w:rFonts w:ascii="??" w:hAnsi="??" w:eastAsia="??"/>
                <w:b w:val="0"/>
                <w:sz w:val="21"/>
              </w:rPr>
              <w:t>多源数据融合分析能力</w:t>
            </w:r>
          </w:p>
        </w:tc>
        <w:tc>
          <w:tcPr>
            <w:tcW w:type="dxa" w:w="1190"/>
            <w:vAlign w:val="center"/>
          </w:tcPr>
          <w:p>
            <w:pPr>
              <w:spacing w:line="276" w:lineRule="auto" w:after="0"/>
              <w:ind w:firstLine="0"/>
              <w:jc w:val="center"/>
            </w:pPr>
            <w:r>
              <w:rPr>
                <w:rFonts w:ascii="??" w:hAnsi="??" w:eastAsia="??"/>
                <w:b w:val="0"/>
                <w:sz w:val="21"/>
              </w:rPr>
              <w:t>90</w:t>
            </w:r>
          </w:p>
        </w:tc>
        <w:tc>
          <w:tcPr>
            <w:tcW w:type="dxa" w:w="1190"/>
            <w:vAlign w:val="center"/>
          </w:tcPr>
          <w:p>
            <w:pPr>
              <w:spacing w:line="276" w:lineRule="auto" w:after="0"/>
              <w:ind w:firstLine="0"/>
              <w:jc w:val="center"/>
            </w:pPr>
            <w:r>
              <w:rPr>
                <w:rFonts w:ascii="??" w:hAnsi="??" w:eastAsia="??"/>
                <w:b w:val="0"/>
                <w:sz w:val="21"/>
              </w:rPr>
              <w:t>43.1%</w:t>
            </w:r>
          </w:p>
        </w:tc>
      </w:tr>
    </w:tbl>
    <w:p>
      <w:pPr>
        <w:ind w:firstLine="0"/>
      </w:pPr>
    </w:p>
    <w:p>
      <w:pPr/>
      <w:r>
        <w:rPr>
          <w:rFonts w:ascii="??" w:hAnsi="??" w:eastAsia="??"/>
          <w:b w:val="0"/>
          <w:sz w:val="24"/>
        </w:rPr>
        <w:t>中层能力是三层模型相较于传统人才画像的关键增量。外层可以说明人才在哪个海洋方向做出了贡献，内层可以说明人才为何长期坚持，但只有中层能够解释“怎样把事情做成”。例如，深海装备成果背后往往需要系统集成、极端环境验证和标准化能力；海洋环境预报背后需要数值建模、多源数据融合和现场观测；水产种业与蓝色医药背后需要长期实验、海试调查和产学研转化。中层能力因此构成海洋科技创造力的过程机制。</w:t>
      </w:r>
    </w:p>
    <w:p>
      <w:pPr>
        <w:pStyle w:val="Heading2"/>
        <w:ind w:firstLine="0"/>
        <w:jc w:val="left"/>
      </w:pPr>
      <w:r>
        <w:rPr>
          <w:rFonts w:ascii="??" w:hAnsi="??" w:eastAsia="??"/>
          <w:b/>
          <w:sz w:val="28"/>
        </w:rPr>
        <w:t>（三）深蓝精神内核维度：长期创造的价值动机</w:t>
      </w:r>
    </w:p>
    <w:p>
      <w:pPr/>
      <w:r>
        <w:rPr>
          <w:rFonts w:ascii="??" w:hAnsi="??" w:eastAsia="??"/>
          <w:b w:val="0"/>
          <w:sz w:val="24"/>
        </w:rPr>
        <w:t>内层能力共识别出7项主题。海洋强国使命担当能力覆盖170人，占81.3%；坚韧攻坚奉献精神覆盖148人，占70.8%；科研报国融合创新能力覆盖137人，占65.6%；国之大者服务担当能力覆盖128人，占61.2%。这些主题说明，在海洋科技人才公开叙事中，国家战略、长期攻坚、服务重大需求和自主创新构成高频价值底色。</w:t>
      </w:r>
    </w:p>
    <w:p>
      <w:pPr/>
      <w:r>
        <w:rPr>
          <w:rFonts w:ascii="??" w:hAnsi="??" w:eastAsia="??"/>
          <w:b/>
          <w:sz w:val="24"/>
        </w:rPr>
        <w:t>表3 深蓝精神内核维度主题</w:t>
      </w:r>
    </w:p>
    <w:tbl>
      <w:tblPr>
        <w:tblStyle w:val="TableGrid"/>
        <w:tblW w:type="auto" w:w="0"/>
        <w:jc w:val="center"/>
        <w:tblLayout w:type="autofit"/>
        <w:tblLook w:firstColumn="1" w:firstRow="1" w:lastColumn="0" w:lastRow="0" w:noHBand="0" w:noVBand="1" w:val="04A0"/>
      </w:tblPr>
      <w:tblGrid>
        <w:gridCol w:w="2161"/>
        <w:gridCol w:w="2161"/>
        <w:gridCol w:w="2161"/>
        <w:gridCol w:w="2161"/>
      </w:tblGrid>
      <w:tr>
        <w:tc>
          <w:tcPr>
            <w:tcW w:type="dxa" w:w="680"/>
            <w:vAlign w:val="center"/>
            <w:shd w:fill="D9EAF7"/>
          </w:tcPr>
          <w:p>
            <w:pPr>
              <w:spacing w:line="276" w:lineRule="auto" w:after="0"/>
              <w:ind w:firstLine="0"/>
              <w:jc w:val="center"/>
            </w:pPr>
            <w:r>
              <w:rPr>
                <w:rFonts w:ascii="??" w:hAnsi="??" w:eastAsia="??"/>
                <w:b/>
                <w:sz w:val="21"/>
              </w:rPr>
              <w:t>序号</w:t>
            </w:r>
          </w:p>
        </w:tc>
        <w:tc>
          <w:tcPr>
            <w:tcW w:type="dxa" w:w="4876"/>
            <w:vAlign w:val="center"/>
            <w:shd w:fill="D9EAF7"/>
          </w:tcPr>
          <w:p>
            <w:pPr>
              <w:spacing w:line="276" w:lineRule="auto" w:after="0"/>
              <w:ind w:firstLine="0"/>
              <w:jc w:val="center"/>
            </w:pPr>
            <w:r>
              <w:rPr>
                <w:rFonts w:ascii="??" w:hAnsi="??" w:eastAsia="??"/>
                <w:b/>
                <w:sz w:val="21"/>
              </w:rPr>
              <w:t>能力主题</w:t>
            </w:r>
          </w:p>
        </w:tc>
        <w:tc>
          <w:tcPr>
            <w:tcW w:type="dxa" w:w="1190"/>
            <w:vAlign w:val="center"/>
            <w:shd w:fill="D9EAF7"/>
          </w:tcPr>
          <w:p>
            <w:pPr>
              <w:spacing w:line="276" w:lineRule="auto" w:after="0"/>
              <w:ind w:firstLine="0"/>
              <w:jc w:val="center"/>
            </w:pPr>
            <w:r>
              <w:rPr>
                <w:rFonts w:ascii="??" w:hAnsi="??" w:eastAsia="??"/>
                <w:b/>
                <w:sz w:val="21"/>
              </w:rPr>
              <w:t>覆盖人数</w:t>
            </w:r>
          </w:p>
        </w:tc>
        <w:tc>
          <w:tcPr>
            <w:tcW w:type="dxa" w:w="1190"/>
            <w:vAlign w:val="center"/>
            <w:shd w:fill="D9EAF7"/>
          </w:tcPr>
          <w:p>
            <w:pPr>
              <w:spacing w:line="276" w:lineRule="auto" w:after="0"/>
              <w:ind w:firstLine="0"/>
              <w:jc w:val="center"/>
            </w:pPr>
            <w:r>
              <w:rPr>
                <w:rFonts w:ascii="??" w:hAnsi="??" w:eastAsia="??"/>
                <w:b/>
                <w:sz w:val="21"/>
              </w:rPr>
              <w:t>占比</w:t>
            </w:r>
          </w:p>
        </w:tc>
      </w:tr>
      <w:tr>
        <w:tc>
          <w:tcPr>
            <w:tcW w:type="dxa" w:w="680"/>
            <w:vAlign w:val="center"/>
          </w:tcPr>
          <w:p>
            <w:pPr>
              <w:spacing w:line="276" w:lineRule="auto" w:after="0"/>
              <w:ind w:firstLine="0"/>
              <w:jc w:val="center"/>
            </w:pPr>
            <w:r>
              <w:rPr>
                <w:rFonts w:ascii="??" w:hAnsi="??" w:eastAsia="??"/>
                <w:b w:val="0"/>
                <w:sz w:val="21"/>
              </w:rPr>
              <w:t>1</w:t>
            </w:r>
          </w:p>
        </w:tc>
        <w:tc>
          <w:tcPr>
            <w:tcW w:type="dxa" w:w="4876"/>
            <w:vAlign w:val="center"/>
          </w:tcPr>
          <w:p>
            <w:pPr>
              <w:spacing w:line="276" w:lineRule="auto" w:after="0"/>
              <w:ind w:firstLine="0"/>
              <w:jc w:val="left"/>
            </w:pPr>
            <w:r>
              <w:rPr>
                <w:rFonts w:ascii="??" w:hAnsi="??" w:eastAsia="??"/>
                <w:b w:val="0"/>
                <w:sz w:val="21"/>
              </w:rPr>
              <w:t>海洋强国使命担当能力</w:t>
            </w:r>
          </w:p>
        </w:tc>
        <w:tc>
          <w:tcPr>
            <w:tcW w:type="dxa" w:w="1190"/>
            <w:vAlign w:val="center"/>
          </w:tcPr>
          <w:p>
            <w:pPr>
              <w:spacing w:line="276" w:lineRule="auto" w:after="0"/>
              <w:ind w:firstLine="0"/>
              <w:jc w:val="center"/>
            </w:pPr>
            <w:r>
              <w:rPr>
                <w:rFonts w:ascii="??" w:hAnsi="??" w:eastAsia="??"/>
                <w:b w:val="0"/>
                <w:sz w:val="21"/>
              </w:rPr>
              <w:t>170</w:t>
            </w:r>
          </w:p>
        </w:tc>
        <w:tc>
          <w:tcPr>
            <w:tcW w:type="dxa" w:w="1190"/>
            <w:vAlign w:val="center"/>
          </w:tcPr>
          <w:p>
            <w:pPr>
              <w:spacing w:line="276" w:lineRule="auto" w:after="0"/>
              <w:ind w:firstLine="0"/>
              <w:jc w:val="center"/>
            </w:pPr>
            <w:r>
              <w:rPr>
                <w:rFonts w:ascii="??" w:hAnsi="??" w:eastAsia="??"/>
                <w:b w:val="0"/>
                <w:sz w:val="21"/>
              </w:rPr>
              <w:t>81.3%</w:t>
            </w:r>
          </w:p>
        </w:tc>
      </w:tr>
      <w:tr>
        <w:tc>
          <w:tcPr>
            <w:tcW w:type="dxa" w:w="680"/>
            <w:vAlign w:val="center"/>
          </w:tcPr>
          <w:p>
            <w:pPr>
              <w:spacing w:line="276" w:lineRule="auto" w:after="0"/>
              <w:ind w:firstLine="0"/>
              <w:jc w:val="center"/>
            </w:pPr>
            <w:r>
              <w:rPr>
                <w:rFonts w:ascii="??" w:hAnsi="??" w:eastAsia="??"/>
                <w:b w:val="0"/>
                <w:sz w:val="21"/>
              </w:rPr>
              <w:t>2</w:t>
            </w:r>
          </w:p>
        </w:tc>
        <w:tc>
          <w:tcPr>
            <w:tcW w:type="dxa" w:w="4876"/>
            <w:vAlign w:val="center"/>
          </w:tcPr>
          <w:p>
            <w:pPr>
              <w:spacing w:line="276" w:lineRule="auto" w:after="0"/>
              <w:ind w:firstLine="0"/>
              <w:jc w:val="left"/>
            </w:pPr>
            <w:r>
              <w:rPr>
                <w:rFonts w:ascii="??" w:hAnsi="??" w:eastAsia="??"/>
                <w:b w:val="0"/>
                <w:sz w:val="21"/>
              </w:rPr>
              <w:t>坚韧攻坚奉献精神</w:t>
            </w:r>
          </w:p>
        </w:tc>
        <w:tc>
          <w:tcPr>
            <w:tcW w:type="dxa" w:w="1190"/>
            <w:vAlign w:val="center"/>
          </w:tcPr>
          <w:p>
            <w:pPr>
              <w:spacing w:line="276" w:lineRule="auto" w:after="0"/>
              <w:ind w:firstLine="0"/>
              <w:jc w:val="center"/>
            </w:pPr>
            <w:r>
              <w:rPr>
                <w:rFonts w:ascii="??" w:hAnsi="??" w:eastAsia="??"/>
                <w:b w:val="0"/>
                <w:sz w:val="21"/>
              </w:rPr>
              <w:t>148</w:t>
            </w:r>
          </w:p>
        </w:tc>
        <w:tc>
          <w:tcPr>
            <w:tcW w:type="dxa" w:w="1190"/>
            <w:vAlign w:val="center"/>
          </w:tcPr>
          <w:p>
            <w:pPr>
              <w:spacing w:line="276" w:lineRule="auto" w:after="0"/>
              <w:ind w:firstLine="0"/>
              <w:jc w:val="center"/>
            </w:pPr>
            <w:r>
              <w:rPr>
                <w:rFonts w:ascii="??" w:hAnsi="??" w:eastAsia="??"/>
                <w:b w:val="0"/>
                <w:sz w:val="21"/>
              </w:rPr>
              <w:t>70.8%</w:t>
            </w:r>
          </w:p>
        </w:tc>
      </w:tr>
      <w:tr>
        <w:tc>
          <w:tcPr>
            <w:tcW w:type="dxa" w:w="680"/>
            <w:vAlign w:val="center"/>
          </w:tcPr>
          <w:p>
            <w:pPr>
              <w:spacing w:line="276" w:lineRule="auto" w:after="0"/>
              <w:ind w:firstLine="0"/>
              <w:jc w:val="center"/>
            </w:pPr>
            <w:r>
              <w:rPr>
                <w:rFonts w:ascii="??" w:hAnsi="??" w:eastAsia="??"/>
                <w:b w:val="0"/>
                <w:sz w:val="21"/>
              </w:rPr>
              <w:t>3</w:t>
            </w:r>
          </w:p>
        </w:tc>
        <w:tc>
          <w:tcPr>
            <w:tcW w:type="dxa" w:w="4876"/>
            <w:vAlign w:val="center"/>
          </w:tcPr>
          <w:p>
            <w:pPr>
              <w:spacing w:line="276" w:lineRule="auto" w:after="0"/>
              <w:ind w:firstLine="0"/>
              <w:jc w:val="left"/>
            </w:pPr>
            <w:r>
              <w:rPr>
                <w:rFonts w:ascii="??" w:hAnsi="??" w:eastAsia="??"/>
                <w:b w:val="0"/>
                <w:sz w:val="21"/>
              </w:rPr>
              <w:t>科研报国融合创新能力</w:t>
            </w:r>
          </w:p>
        </w:tc>
        <w:tc>
          <w:tcPr>
            <w:tcW w:type="dxa" w:w="1190"/>
            <w:vAlign w:val="center"/>
          </w:tcPr>
          <w:p>
            <w:pPr>
              <w:spacing w:line="276" w:lineRule="auto" w:after="0"/>
              <w:ind w:firstLine="0"/>
              <w:jc w:val="center"/>
            </w:pPr>
            <w:r>
              <w:rPr>
                <w:rFonts w:ascii="??" w:hAnsi="??" w:eastAsia="??"/>
                <w:b w:val="0"/>
                <w:sz w:val="21"/>
              </w:rPr>
              <w:t>137</w:t>
            </w:r>
          </w:p>
        </w:tc>
        <w:tc>
          <w:tcPr>
            <w:tcW w:type="dxa" w:w="1190"/>
            <w:vAlign w:val="center"/>
          </w:tcPr>
          <w:p>
            <w:pPr>
              <w:spacing w:line="276" w:lineRule="auto" w:after="0"/>
              <w:ind w:firstLine="0"/>
              <w:jc w:val="center"/>
            </w:pPr>
            <w:r>
              <w:rPr>
                <w:rFonts w:ascii="??" w:hAnsi="??" w:eastAsia="??"/>
                <w:b w:val="0"/>
                <w:sz w:val="21"/>
              </w:rPr>
              <w:t>65.6%</w:t>
            </w:r>
          </w:p>
        </w:tc>
      </w:tr>
      <w:tr>
        <w:tc>
          <w:tcPr>
            <w:tcW w:type="dxa" w:w="680"/>
            <w:vAlign w:val="center"/>
          </w:tcPr>
          <w:p>
            <w:pPr>
              <w:spacing w:line="276" w:lineRule="auto" w:after="0"/>
              <w:ind w:firstLine="0"/>
              <w:jc w:val="center"/>
            </w:pPr>
            <w:r>
              <w:rPr>
                <w:rFonts w:ascii="??" w:hAnsi="??" w:eastAsia="??"/>
                <w:b w:val="0"/>
                <w:sz w:val="21"/>
              </w:rPr>
              <w:t>4</w:t>
            </w:r>
          </w:p>
        </w:tc>
        <w:tc>
          <w:tcPr>
            <w:tcW w:type="dxa" w:w="4876"/>
            <w:vAlign w:val="center"/>
          </w:tcPr>
          <w:p>
            <w:pPr>
              <w:spacing w:line="276" w:lineRule="auto" w:after="0"/>
              <w:ind w:firstLine="0"/>
              <w:jc w:val="left"/>
            </w:pPr>
            <w:r>
              <w:rPr>
                <w:rFonts w:ascii="??" w:hAnsi="??" w:eastAsia="??"/>
                <w:b w:val="0"/>
                <w:sz w:val="21"/>
              </w:rPr>
              <w:t>国之大者服务担当能力</w:t>
            </w:r>
          </w:p>
        </w:tc>
        <w:tc>
          <w:tcPr>
            <w:tcW w:type="dxa" w:w="1190"/>
            <w:vAlign w:val="center"/>
          </w:tcPr>
          <w:p>
            <w:pPr>
              <w:spacing w:line="276" w:lineRule="auto" w:after="0"/>
              <w:ind w:firstLine="0"/>
              <w:jc w:val="center"/>
            </w:pPr>
            <w:r>
              <w:rPr>
                <w:rFonts w:ascii="??" w:hAnsi="??" w:eastAsia="??"/>
                <w:b w:val="0"/>
                <w:sz w:val="21"/>
              </w:rPr>
              <w:t>128</w:t>
            </w:r>
          </w:p>
        </w:tc>
        <w:tc>
          <w:tcPr>
            <w:tcW w:type="dxa" w:w="1190"/>
            <w:vAlign w:val="center"/>
          </w:tcPr>
          <w:p>
            <w:pPr>
              <w:spacing w:line="276" w:lineRule="auto" w:after="0"/>
              <w:ind w:firstLine="0"/>
              <w:jc w:val="center"/>
            </w:pPr>
            <w:r>
              <w:rPr>
                <w:rFonts w:ascii="??" w:hAnsi="??" w:eastAsia="??"/>
                <w:b w:val="0"/>
                <w:sz w:val="21"/>
              </w:rPr>
              <w:t>61.2%</w:t>
            </w:r>
          </w:p>
        </w:tc>
      </w:tr>
      <w:tr>
        <w:tc>
          <w:tcPr>
            <w:tcW w:type="dxa" w:w="680"/>
            <w:vAlign w:val="center"/>
          </w:tcPr>
          <w:p>
            <w:pPr>
              <w:spacing w:line="276" w:lineRule="auto" w:after="0"/>
              <w:ind w:firstLine="0"/>
              <w:jc w:val="center"/>
            </w:pPr>
            <w:r>
              <w:rPr>
                <w:rFonts w:ascii="??" w:hAnsi="??" w:eastAsia="??"/>
                <w:b w:val="0"/>
                <w:sz w:val="21"/>
              </w:rPr>
              <w:t>5</w:t>
            </w:r>
          </w:p>
        </w:tc>
        <w:tc>
          <w:tcPr>
            <w:tcW w:type="dxa" w:w="4876"/>
            <w:vAlign w:val="center"/>
          </w:tcPr>
          <w:p>
            <w:pPr>
              <w:spacing w:line="276" w:lineRule="auto" w:after="0"/>
              <w:ind w:firstLine="0"/>
              <w:jc w:val="left"/>
            </w:pPr>
            <w:r>
              <w:rPr>
                <w:rFonts w:ascii="??" w:hAnsi="??" w:eastAsia="??"/>
                <w:b w:val="0"/>
                <w:sz w:val="21"/>
              </w:rPr>
              <w:t>深蓝探索开拓能力</w:t>
            </w:r>
          </w:p>
        </w:tc>
        <w:tc>
          <w:tcPr>
            <w:tcW w:type="dxa" w:w="1190"/>
            <w:vAlign w:val="center"/>
          </w:tcPr>
          <w:p>
            <w:pPr>
              <w:spacing w:line="276" w:lineRule="auto" w:after="0"/>
              <w:ind w:firstLine="0"/>
              <w:jc w:val="center"/>
            </w:pPr>
            <w:r>
              <w:rPr>
                <w:rFonts w:ascii="??" w:hAnsi="??" w:eastAsia="??"/>
                <w:b w:val="0"/>
                <w:sz w:val="21"/>
              </w:rPr>
              <w:t>118</w:t>
            </w:r>
          </w:p>
        </w:tc>
        <w:tc>
          <w:tcPr>
            <w:tcW w:type="dxa" w:w="1190"/>
            <w:vAlign w:val="center"/>
          </w:tcPr>
          <w:p>
            <w:pPr>
              <w:spacing w:line="276" w:lineRule="auto" w:after="0"/>
              <w:ind w:firstLine="0"/>
              <w:jc w:val="center"/>
            </w:pPr>
            <w:r>
              <w:rPr>
                <w:rFonts w:ascii="??" w:hAnsi="??" w:eastAsia="??"/>
                <w:b w:val="0"/>
                <w:sz w:val="21"/>
              </w:rPr>
              <w:t>56.5%</w:t>
            </w:r>
          </w:p>
        </w:tc>
      </w:tr>
      <w:tr>
        <w:tc>
          <w:tcPr>
            <w:tcW w:type="dxa" w:w="680"/>
            <w:vAlign w:val="center"/>
          </w:tcPr>
          <w:p>
            <w:pPr>
              <w:spacing w:line="276" w:lineRule="auto" w:after="0"/>
              <w:ind w:firstLine="0"/>
              <w:jc w:val="center"/>
            </w:pPr>
            <w:r>
              <w:rPr>
                <w:rFonts w:ascii="??" w:hAnsi="??" w:eastAsia="??"/>
                <w:b w:val="0"/>
                <w:sz w:val="21"/>
              </w:rPr>
              <w:t>6</w:t>
            </w:r>
          </w:p>
        </w:tc>
        <w:tc>
          <w:tcPr>
            <w:tcW w:type="dxa" w:w="4876"/>
            <w:vAlign w:val="center"/>
          </w:tcPr>
          <w:p>
            <w:pPr>
              <w:spacing w:line="276" w:lineRule="auto" w:after="0"/>
              <w:ind w:firstLine="0"/>
              <w:jc w:val="left"/>
            </w:pPr>
            <w:r>
              <w:rPr>
                <w:rFonts w:ascii="??" w:hAnsi="??" w:eastAsia="??"/>
                <w:b w:val="0"/>
                <w:sz w:val="21"/>
              </w:rPr>
              <w:t>生态守护可持续意识</w:t>
            </w:r>
          </w:p>
        </w:tc>
        <w:tc>
          <w:tcPr>
            <w:tcW w:type="dxa" w:w="1190"/>
            <w:vAlign w:val="center"/>
          </w:tcPr>
          <w:p>
            <w:pPr>
              <w:spacing w:line="276" w:lineRule="auto" w:after="0"/>
              <w:ind w:firstLine="0"/>
              <w:jc w:val="center"/>
            </w:pPr>
            <w:r>
              <w:rPr>
                <w:rFonts w:ascii="??" w:hAnsi="??" w:eastAsia="??"/>
                <w:b w:val="0"/>
                <w:sz w:val="21"/>
              </w:rPr>
              <w:t>102</w:t>
            </w:r>
          </w:p>
        </w:tc>
        <w:tc>
          <w:tcPr>
            <w:tcW w:type="dxa" w:w="1190"/>
            <w:vAlign w:val="center"/>
          </w:tcPr>
          <w:p>
            <w:pPr>
              <w:spacing w:line="276" w:lineRule="auto" w:after="0"/>
              <w:ind w:firstLine="0"/>
              <w:jc w:val="center"/>
            </w:pPr>
            <w:r>
              <w:rPr>
                <w:rFonts w:ascii="??" w:hAnsi="??" w:eastAsia="??"/>
                <w:b w:val="0"/>
                <w:sz w:val="21"/>
              </w:rPr>
              <w:t>48.8%</w:t>
            </w:r>
          </w:p>
        </w:tc>
      </w:tr>
      <w:tr>
        <w:tc>
          <w:tcPr>
            <w:tcW w:type="dxa" w:w="680"/>
            <w:vAlign w:val="center"/>
          </w:tcPr>
          <w:p>
            <w:pPr>
              <w:spacing w:line="276" w:lineRule="auto" w:after="0"/>
              <w:ind w:firstLine="0"/>
              <w:jc w:val="center"/>
            </w:pPr>
            <w:r>
              <w:rPr>
                <w:rFonts w:ascii="??" w:hAnsi="??" w:eastAsia="??"/>
                <w:b w:val="0"/>
                <w:sz w:val="21"/>
              </w:rPr>
              <w:t>7</w:t>
            </w:r>
          </w:p>
        </w:tc>
        <w:tc>
          <w:tcPr>
            <w:tcW w:type="dxa" w:w="4876"/>
            <w:vAlign w:val="center"/>
          </w:tcPr>
          <w:p>
            <w:pPr>
              <w:spacing w:line="276" w:lineRule="auto" w:after="0"/>
              <w:ind w:firstLine="0"/>
              <w:jc w:val="left"/>
            </w:pPr>
            <w:r>
              <w:rPr>
                <w:rFonts w:ascii="??" w:hAnsi="??" w:eastAsia="??"/>
                <w:b w:val="0"/>
                <w:sz w:val="21"/>
              </w:rPr>
              <w:t>科技自立创新能力</w:t>
            </w:r>
          </w:p>
        </w:tc>
        <w:tc>
          <w:tcPr>
            <w:tcW w:type="dxa" w:w="1190"/>
            <w:vAlign w:val="center"/>
          </w:tcPr>
          <w:p>
            <w:pPr>
              <w:spacing w:line="276" w:lineRule="auto" w:after="0"/>
              <w:ind w:firstLine="0"/>
              <w:jc w:val="center"/>
            </w:pPr>
            <w:r>
              <w:rPr>
                <w:rFonts w:ascii="??" w:hAnsi="??" w:eastAsia="??"/>
                <w:b w:val="0"/>
                <w:sz w:val="21"/>
              </w:rPr>
              <w:t>94</w:t>
            </w:r>
          </w:p>
        </w:tc>
        <w:tc>
          <w:tcPr>
            <w:tcW w:type="dxa" w:w="1190"/>
            <w:vAlign w:val="center"/>
          </w:tcPr>
          <w:p>
            <w:pPr>
              <w:spacing w:line="276" w:lineRule="auto" w:after="0"/>
              <w:ind w:firstLine="0"/>
              <w:jc w:val="center"/>
            </w:pPr>
            <w:r>
              <w:rPr>
                <w:rFonts w:ascii="??" w:hAnsi="??" w:eastAsia="??"/>
                <w:b w:val="0"/>
                <w:sz w:val="21"/>
              </w:rPr>
              <w:t>45.0%</w:t>
            </w:r>
          </w:p>
        </w:tc>
      </w:tr>
    </w:tbl>
    <w:p>
      <w:pPr>
        <w:ind w:firstLine="0"/>
      </w:pPr>
    </w:p>
    <w:p>
      <w:pPr/>
      <w:r>
        <w:rPr>
          <w:rFonts w:ascii="??" w:hAnsi="??" w:eastAsia="??"/>
          <w:b w:val="0"/>
          <w:sz w:val="24"/>
        </w:rPr>
        <w:t>深蓝精神内核并不是抽象口号，而是与具体海洋场景相互嵌合。深海装备和深水工程人才往往强调科技自立、坚韧攻坚和自主可控；生态养殖、蓝色医药和生态保育人才更突出生态守护和可持续意识；远洋科考、海权经略和国际协作人才更强调海洋强国、规则参与和国之大者。由此可见，任务动机不仅影响投入强度，也影响人才将创造力投向何种海洋问题。</w:t>
      </w:r>
    </w:p>
    <w:p>
      <w:pPr>
        <w:pStyle w:val="Heading1"/>
        <w:ind w:firstLine="0"/>
        <w:jc w:val="left"/>
      </w:pPr>
      <w:r>
        <w:rPr>
          <w:rFonts w:ascii="??" w:hAnsi="??" w:eastAsia="??"/>
          <w:b/>
          <w:sz w:val="30"/>
        </w:rPr>
        <w:t>五、八类海洋科技人才画像</w:t>
      </w:r>
    </w:p>
    <w:p>
      <w:pPr/>
      <w:r>
        <w:rPr>
          <w:rFonts w:ascii="??" w:hAnsi="??" w:eastAsia="??"/>
          <w:b w:val="0"/>
          <w:sz w:val="24"/>
        </w:rPr>
        <w:t>基于27项能力主题构造个体能力矩阵，本文识别出8类海洋科技人才画像。各类画像不是对个体价值高低的排序，而是不同海洋任务场景、创新过程能力和价值动机的组合构型。</w:t>
      </w:r>
    </w:p>
    <w:p>
      <w:pPr/>
      <w:r>
        <w:rPr>
          <w:rFonts w:ascii="??" w:hAnsi="??" w:eastAsia="??"/>
          <w:b/>
          <w:sz w:val="24"/>
        </w:rPr>
        <w:t>表4 海洋科技人才画像类型</w:t>
      </w:r>
    </w:p>
    <w:tbl>
      <w:tblPr>
        <w:tblStyle w:val="TableGrid"/>
        <w:tblW w:type="auto" w:w="0"/>
        <w:jc w:val="center"/>
        <w:tblLayout w:type="autofit"/>
        <w:tblLook w:firstColumn="1" w:firstRow="1" w:lastColumn="0" w:lastRow="0" w:noHBand="0" w:noVBand="1" w:val="04A0"/>
      </w:tblPr>
      <w:tblGrid>
        <w:gridCol w:w="1729"/>
        <w:gridCol w:w="1729"/>
        <w:gridCol w:w="1729"/>
        <w:gridCol w:w="1729"/>
        <w:gridCol w:w="1729"/>
      </w:tblGrid>
      <w:tr>
        <w:tc>
          <w:tcPr>
            <w:tcW w:type="dxa" w:w="623"/>
            <w:vAlign w:val="center"/>
            <w:shd w:fill="D9EAF7"/>
          </w:tcPr>
          <w:p>
            <w:pPr>
              <w:spacing w:line="276" w:lineRule="auto" w:after="0"/>
              <w:ind w:firstLine="0"/>
              <w:jc w:val="center"/>
            </w:pPr>
            <w:r>
              <w:rPr>
                <w:rFonts w:ascii="??" w:hAnsi="??" w:eastAsia="??"/>
                <w:b/>
                <w:sz w:val="19"/>
              </w:rPr>
              <w:t>簇</w:t>
            </w:r>
          </w:p>
        </w:tc>
        <w:tc>
          <w:tcPr>
            <w:tcW w:type="dxa" w:w="1927"/>
            <w:vAlign w:val="center"/>
            <w:shd w:fill="D9EAF7"/>
          </w:tcPr>
          <w:p>
            <w:pPr>
              <w:spacing w:line="276" w:lineRule="auto" w:after="0"/>
              <w:ind w:firstLine="0"/>
              <w:jc w:val="center"/>
            </w:pPr>
            <w:r>
              <w:rPr>
                <w:rFonts w:ascii="??" w:hAnsi="??" w:eastAsia="??"/>
                <w:b/>
                <w:sz w:val="19"/>
              </w:rPr>
              <w:t>人才画像</w:t>
            </w:r>
          </w:p>
        </w:tc>
        <w:tc>
          <w:tcPr>
            <w:tcW w:type="dxa" w:w="680"/>
            <w:vAlign w:val="center"/>
            <w:shd w:fill="D9EAF7"/>
          </w:tcPr>
          <w:p>
            <w:pPr>
              <w:spacing w:line="276" w:lineRule="auto" w:after="0"/>
              <w:ind w:firstLine="0"/>
              <w:jc w:val="center"/>
            </w:pPr>
            <w:r>
              <w:rPr>
                <w:rFonts w:ascii="??" w:hAnsi="??" w:eastAsia="??"/>
                <w:b/>
                <w:sz w:val="19"/>
              </w:rPr>
              <w:t>人数</w:t>
            </w:r>
          </w:p>
        </w:tc>
        <w:tc>
          <w:tcPr>
            <w:tcW w:type="dxa" w:w="793"/>
            <w:vAlign w:val="center"/>
            <w:shd w:fill="D9EAF7"/>
          </w:tcPr>
          <w:p>
            <w:pPr>
              <w:spacing w:line="276" w:lineRule="auto" w:after="0"/>
              <w:ind w:firstLine="0"/>
              <w:jc w:val="center"/>
            </w:pPr>
            <w:r>
              <w:rPr>
                <w:rFonts w:ascii="??" w:hAnsi="??" w:eastAsia="??"/>
                <w:b/>
                <w:sz w:val="19"/>
              </w:rPr>
              <w:t>占比</w:t>
            </w:r>
          </w:p>
        </w:tc>
        <w:tc>
          <w:tcPr>
            <w:tcW w:type="dxa" w:w="4536"/>
            <w:vAlign w:val="center"/>
            <w:shd w:fill="D9EAF7"/>
          </w:tcPr>
          <w:p>
            <w:pPr>
              <w:spacing w:line="276" w:lineRule="auto" w:after="0"/>
              <w:ind w:firstLine="0"/>
              <w:jc w:val="center"/>
            </w:pPr>
            <w:r>
              <w:rPr>
                <w:rFonts w:ascii="??" w:hAnsi="??" w:eastAsia="??"/>
                <w:b/>
                <w:sz w:val="19"/>
              </w:rPr>
              <w:t>核心能力组合</w:t>
            </w:r>
          </w:p>
        </w:tc>
      </w:tr>
      <w:tr>
        <w:tc>
          <w:tcPr>
            <w:tcW w:type="dxa" w:w="623"/>
            <w:vAlign w:val="center"/>
          </w:tcPr>
          <w:p>
            <w:pPr>
              <w:spacing w:line="276" w:lineRule="auto" w:after="0"/>
              <w:ind w:firstLine="0"/>
              <w:jc w:val="center"/>
            </w:pPr>
            <w:r>
              <w:rPr>
                <w:rFonts w:ascii="??" w:hAnsi="??" w:eastAsia="??"/>
                <w:b w:val="0"/>
                <w:sz w:val="19"/>
              </w:rPr>
              <w:t>0</w:t>
            </w:r>
          </w:p>
        </w:tc>
        <w:tc>
          <w:tcPr>
            <w:tcW w:type="dxa" w:w="1927"/>
            <w:vAlign w:val="center"/>
          </w:tcPr>
          <w:p>
            <w:pPr>
              <w:spacing w:line="276" w:lineRule="auto" w:after="0"/>
              <w:ind w:firstLine="0"/>
              <w:jc w:val="left"/>
            </w:pPr>
            <w:r>
              <w:rPr>
                <w:rFonts w:ascii="??" w:hAnsi="??" w:eastAsia="??"/>
                <w:b w:val="0"/>
                <w:sz w:val="19"/>
              </w:rPr>
              <w:t>蓝潮风电预报领航型</w:t>
            </w:r>
          </w:p>
        </w:tc>
        <w:tc>
          <w:tcPr>
            <w:tcW w:type="dxa" w:w="680"/>
            <w:vAlign w:val="center"/>
          </w:tcPr>
          <w:p>
            <w:pPr>
              <w:spacing w:line="276" w:lineRule="auto" w:after="0"/>
              <w:ind w:firstLine="0"/>
              <w:jc w:val="center"/>
            </w:pPr>
            <w:r>
              <w:rPr>
                <w:rFonts w:ascii="??" w:hAnsi="??" w:eastAsia="??"/>
                <w:b w:val="0"/>
                <w:sz w:val="19"/>
              </w:rPr>
              <w:t>20</w:t>
            </w:r>
          </w:p>
        </w:tc>
        <w:tc>
          <w:tcPr>
            <w:tcW w:type="dxa" w:w="793"/>
            <w:vAlign w:val="center"/>
          </w:tcPr>
          <w:p>
            <w:pPr>
              <w:spacing w:line="276" w:lineRule="auto" w:after="0"/>
              <w:ind w:firstLine="0"/>
              <w:jc w:val="center"/>
            </w:pPr>
            <w:r>
              <w:rPr>
                <w:rFonts w:ascii="??" w:hAnsi="??" w:eastAsia="??"/>
                <w:b w:val="0"/>
                <w:sz w:val="19"/>
              </w:rPr>
              <w:t>9.6%</w:t>
            </w:r>
          </w:p>
        </w:tc>
        <w:tc>
          <w:tcPr>
            <w:tcW w:type="dxa" w:w="4536"/>
            <w:vAlign w:val="center"/>
          </w:tcPr>
          <w:p>
            <w:pPr>
              <w:spacing w:line="276" w:lineRule="auto" w:after="0"/>
              <w:ind w:firstLine="0"/>
              <w:jc w:val="left"/>
            </w:pPr>
            <w:r>
              <w:rPr>
                <w:rFonts w:ascii="??" w:hAnsi="??" w:eastAsia="??"/>
                <w:b w:val="0"/>
                <w:sz w:val="19"/>
              </w:rPr>
              <w:t>海浪环流与风电工程、数值建模与模拟验证、海洋强国使命担当</w:t>
            </w:r>
          </w:p>
        </w:tc>
      </w:tr>
      <w:tr>
        <w:tc>
          <w:tcPr>
            <w:tcW w:type="dxa" w:w="623"/>
            <w:vAlign w:val="center"/>
          </w:tcPr>
          <w:p>
            <w:pPr>
              <w:spacing w:line="276" w:lineRule="auto" w:after="0"/>
              <w:ind w:firstLine="0"/>
              <w:jc w:val="center"/>
            </w:pPr>
            <w:r>
              <w:rPr>
                <w:rFonts w:ascii="??" w:hAnsi="??" w:eastAsia="??"/>
                <w:b w:val="0"/>
                <w:sz w:val="19"/>
              </w:rPr>
              <w:t>1</w:t>
            </w:r>
          </w:p>
        </w:tc>
        <w:tc>
          <w:tcPr>
            <w:tcW w:type="dxa" w:w="1927"/>
            <w:vAlign w:val="center"/>
          </w:tcPr>
          <w:p>
            <w:pPr>
              <w:spacing w:line="276" w:lineRule="auto" w:after="0"/>
              <w:ind w:firstLine="0"/>
              <w:jc w:val="left"/>
            </w:pPr>
            <w:r>
              <w:rPr>
                <w:rFonts w:ascii="??" w:hAnsi="??" w:eastAsia="??"/>
                <w:b w:val="0"/>
                <w:sz w:val="19"/>
              </w:rPr>
              <w:t>蓝海科教经略枢纽型</w:t>
            </w:r>
          </w:p>
        </w:tc>
        <w:tc>
          <w:tcPr>
            <w:tcW w:type="dxa" w:w="680"/>
            <w:vAlign w:val="center"/>
          </w:tcPr>
          <w:p>
            <w:pPr>
              <w:spacing w:line="276" w:lineRule="auto" w:after="0"/>
              <w:ind w:firstLine="0"/>
              <w:jc w:val="center"/>
            </w:pPr>
            <w:r>
              <w:rPr>
                <w:rFonts w:ascii="??" w:hAnsi="??" w:eastAsia="??"/>
                <w:b w:val="0"/>
                <w:sz w:val="19"/>
              </w:rPr>
              <w:t>31</w:t>
            </w:r>
          </w:p>
        </w:tc>
        <w:tc>
          <w:tcPr>
            <w:tcW w:type="dxa" w:w="793"/>
            <w:vAlign w:val="center"/>
          </w:tcPr>
          <w:p>
            <w:pPr>
              <w:spacing w:line="276" w:lineRule="auto" w:after="0"/>
              <w:ind w:firstLine="0"/>
              <w:jc w:val="center"/>
            </w:pPr>
            <w:r>
              <w:rPr>
                <w:rFonts w:ascii="??" w:hAnsi="??" w:eastAsia="??"/>
                <w:b w:val="0"/>
                <w:sz w:val="19"/>
              </w:rPr>
              <w:t>14.9%</w:t>
            </w:r>
          </w:p>
        </w:tc>
        <w:tc>
          <w:tcPr>
            <w:tcW w:type="dxa" w:w="4536"/>
            <w:vAlign w:val="center"/>
          </w:tcPr>
          <w:p>
            <w:pPr>
              <w:spacing w:line="276" w:lineRule="auto" w:after="0"/>
              <w:ind w:firstLine="0"/>
              <w:jc w:val="left"/>
            </w:pPr>
            <w:r>
              <w:rPr>
                <w:rFonts w:ascii="??" w:hAnsi="??" w:eastAsia="??"/>
                <w:b w:val="0"/>
                <w:sz w:val="19"/>
              </w:rPr>
              <w:t>蓝色科教治理传播、跨学科产学研转化、海洋强国使命担当</w:t>
            </w:r>
          </w:p>
        </w:tc>
      </w:tr>
      <w:tr>
        <w:tc>
          <w:tcPr>
            <w:tcW w:type="dxa" w:w="623"/>
            <w:vAlign w:val="center"/>
          </w:tcPr>
          <w:p>
            <w:pPr>
              <w:spacing w:line="276" w:lineRule="auto" w:after="0"/>
              <w:ind w:firstLine="0"/>
              <w:jc w:val="center"/>
            </w:pPr>
            <w:r>
              <w:rPr>
                <w:rFonts w:ascii="??" w:hAnsi="??" w:eastAsia="??"/>
                <w:b w:val="0"/>
                <w:sz w:val="19"/>
              </w:rPr>
              <w:t>2</w:t>
            </w:r>
          </w:p>
        </w:tc>
        <w:tc>
          <w:tcPr>
            <w:tcW w:type="dxa" w:w="1927"/>
            <w:vAlign w:val="center"/>
          </w:tcPr>
          <w:p>
            <w:pPr>
              <w:spacing w:line="276" w:lineRule="auto" w:after="0"/>
              <w:ind w:firstLine="0"/>
              <w:jc w:val="left"/>
            </w:pPr>
            <w:r>
              <w:rPr>
                <w:rFonts w:ascii="??" w:hAnsi="??" w:eastAsia="??"/>
                <w:b w:val="0"/>
                <w:sz w:val="19"/>
              </w:rPr>
              <w:t>海港远航观测舵手型</w:t>
            </w:r>
          </w:p>
        </w:tc>
        <w:tc>
          <w:tcPr>
            <w:tcW w:type="dxa" w:w="680"/>
            <w:vAlign w:val="center"/>
          </w:tcPr>
          <w:p>
            <w:pPr>
              <w:spacing w:line="276" w:lineRule="auto" w:after="0"/>
              <w:ind w:firstLine="0"/>
              <w:jc w:val="center"/>
            </w:pPr>
            <w:r>
              <w:rPr>
                <w:rFonts w:ascii="??" w:hAnsi="??" w:eastAsia="??"/>
                <w:b w:val="0"/>
                <w:sz w:val="19"/>
              </w:rPr>
              <w:t>30</w:t>
            </w:r>
          </w:p>
        </w:tc>
        <w:tc>
          <w:tcPr>
            <w:tcW w:type="dxa" w:w="793"/>
            <w:vAlign w:val="center"/>
          </w:tcPr>
          <w:p>
            <w:pPr>
              <w:spacing w:line="276" w:lineRule="auto" w:after="0"/>
              <w:ind w:firstLine="0"/>
              <w:jc w:val="center"/>
            </w:pPr>
            <w:r>
              <w:rPr>
                <w:rFonts w:ascii="??" w:hAnsi="??" w:eastAsia="??"/>
                <w:b w:val="0"/>
                <w:sz w:val="19"/>
              </w:rPr>
              <w:t>14.4%</w:t>
            </w:r>
          </w:p>
        </w:tc>
        <w:tc>
          <w:tcPr>
            <w:tcW w:type="dxa" w:w="4536"/>
            <w:vAlign w:val="center"/>
          </w:tcPr>
          <w:p>
            <w:pPr>
              <w:spacing w:line="276" w:lineRule="auto" w:after="0"/>
              <w:ind w:firstLine="0"/>
              <w:jc w:val="left"/>
            </w:pPr>
            <w:r>
              <w:rPr>
                <w:rFonts w:ascii="??" w:hAnsi="??" w:eastAsia="??"/>
                <w:b w:val="0"/>
                <w:sz w:val="19"/>
              </w:rPr>
              <w:t>船港航海与海上作业、系统集成与标准化、坚韧攻坚</w:t>
            </w:r>
          </w:p>
        </w:tc>
      </w:tr>
      <w:tr>
        <w:tc>
          <w:tcPr>
            <w:tcW w:type="dxa" w:w="623"/>
            <w:vAlign w:val="center"/>
          </w:tcPr>
          <w:p>
            <w:pPr>
              <w:spacing w:line="276" w:lineRule="auto" w:after="0"/>
              <w:ind w:firstLine="0"/>
              <w:jc w:val="center"/>
            </w:pPr>
            <w:r>
              <w:rPr>
                <w:rFonts w:ascii="??" w:hAnsi="??" w:eastAsia="??"/>
                <w:b w:val="0"/>
                <w:sz w:val="19"/>
              </w:rPr>
              <w:t>3</w:t>
            </w:r>
          </w:p>
        </w:tc>
        <w:tc>
          <w:tcPr>
            <w:tcW w:type="dxa" w:w="1927"/>
            <w:vAlign w:val="center"/>
          </w:tcPr>
          <w:p>
            <w:pPr>
              <w:spacing w:line="276" w:lineRule="auto" w:after="0"/>
              <w:ind w:firstLine="0"/>
              <w:jc w:val="left"/>
            </w:pPr>
            <w:r>
              <w:rPr>
                <w:rFonts w:ascii="??" w:hAnsi="??" w:eastAsia="??"/>
                <w:b w:val="0"/>
                <w:sz w:val="19"/>
              </w:rPr>
              <w:t>碧湾种业养殖育蓝型</w:t>
            </w:r>
          </w:p>
        </w:tc>
        <w:tc>
          <w:tcPr>
            <w:tcW w:type="dxa" w:w="680"/>
            <w:vAlign w:val="center"/>
          </w:tcPr>
          <w:p>
            <w:pPr>
              <w:spacing w:line="276" w:lineRule="auto" w:after="0"/>
              <w:ind w:firstLine="0"/>
              <w:jc w:val="center"/>
            </w:pPr>
            <w:r>
              <w:rPr>
                <w:rFonts w:ascii="??" w:hAnsi="??" w:eastAsia="??"/>
                <w:b w:val="0"/>
                <w:sz w:val="19"/>
              </w:rPr>
              <w:t>30</w:t>
            </w:r>
          </w:p>
        </w:tc>
        <w:tc>
          <w:tcPr>
            <w:tcW w:type="dxa" w:w="793"/>
            <w:vAlign w:val="center"/>
          </w:tcPr>
          <w:p>
            <w:pPr>
              <w:spacing w:line="276" w:lineRule="auto" w:after="0"/>
              <w:ind w:firstLine="0"/>
              <w:jc w:val="center"/>
            </w:pPr>
            <w:r>
              <w:rPr>
                <w:rFonts w:ascii="??" w:hAnsi="??" w:eastAsia="??"/>
                <w:b w:val="0"/>
                <w:sz w:val="19"/>
              </w:rPr>
              <w:t>14.4%</w:t>
            </w:r>
          </w:p>
        </w:tc>
        <w:tc>
          <w:tcPr>
            <w:tcW w:type="dxa" w:w="4536"/>
            <w:vAlign w:val="center"/>
          </w:tcPr>
          <w:p>
            <w:pPr>
              <w:spacing w:line="276" w:lineRule="auto" w:after="0"/>
              <w:ind w:firstLine="0"/>
              <w:jc w:val="left"/>
            </w:pPr>
            <w:r>
              <w:rPr>
                <w:rFonts w:ascii="??" w:hAnsi="??" w:eastAsia="??"/>
                <w:b w:val="0"/>
                <w:sz w:val="19"/>
              </w:rPr>
              <w:t>水产生物种业开发、实地验证与现场调查、生态守护</w:t>
            </w:r>
          </w:p>
        </w:tc>
      </w:tr>
      <w:tr>
        <w:tc>
          <w:tcPr>
            <w:tcW w:type="dxa" w:w="623"/>
            <w:vAlign w:val="center"/>
          </w:tcPr>
          <w:p>
            <w:pPr>
              <w:spacing w:line="276" w:lineRule="auto" w:after="0"/>
              <w:ind w:firstLine="0"/>
              <w:jc w:val="center"/>
            </w:pPr>
            <w:r>
              <w:rPr>
                <w:rFonts w:ascii="??" w:hAnsi="??" w:eastAsia="??"/>
                <w:b w:val="0"/>
                <w:sz w:val="19"/>
              </w:rPr>
              <w:t>4</w:t>
            </w:r>
          </w:p>
        </w:tc>
        <w:tc>
          <w:tcPr>
            <w:tcW w:type="dxa" w:w="1927"/>
            <w:vAlign w:val="center"/>
          </w:tcPr>
          <w:p>
            <w:pPr>
              <w:spacing w:line="276" w:lineRule="auto" w:after="0"/>
              <w:ind w:firstLine="0"/>
              <w:jc w:val="left"/>
            </w:pPr>
            <w:r>
              <w:rPr>
                <w:rFonts w:ascii="??" w:hAnsi="??" w:eastAsia="??"/>
                <w:b w:val="0"/>
                <w:sz w:val="19"/>
              </w:rPr>
              <w:t>深水油气工程攻坚型</w:t>
            </w:r>
          </w:p>
        </w:tc>
        <w:tc>
          <w:tcPr>
            <w:tcW w:type="dxa" w:w="680"/>
            <w:vAlign w:val="center"/>
          </w:tcPr>
          <w:p>
            <w:pPr>
              <w:spacing w:line="276" w:lineRule="auto" w:after="0"/>
              <w:ind w:firstLine="0"/>
              <w:jc w:val="center"/>
            </w:pPr>
            <w:r>
              <w:rPr>
                <w:rFonts w:ascii="??" w:hAnsi="??" w:eastAsia="??"/>
                <w:b w:val="0"/>
                <w:sz w:val="19"/>
              </w:rPr>
              <w:t>9</w:t>
            </w:r>
          </w:p>
        </w:tc>
        <w:tc>
          <w:tcPr>
            <w:tcW w:type="dxa" w:w="793"/>
            <w:vAlign w:val="center"/>
          </w:tcPr>
          <w:p>
            <w:pPr>
              <w:spacing w:line="276" w:lineRule="auto" w:after="0"/>
              <w:ind w:firstLine="0"/>
              <w:jc w:val="center"/>
            </w:pPr>
            <w:r>
              <w:rPr>
                <w:rFonts w:ascii="??" w:hAnsi="??" w:eastAsia="??"/>
                <w:b w:val="0"/>
                <w:sz w:val="19"/>
              </w:rPr>
              <w:t>4.3%</w:t>
            </w:r>
          </w:p>
        </w:tc>
        <w:tc>
          <w:tcPr>
            <w:tcW w:type="dxa" w:w="4536"/>
            <w:vAlign w:val="center"/>
          </w:tcPr>
          <w:p>
            <w:pPr>
              <w:spacing w:line="276" w:lineRule="auto" w:after="0"/>
              <w:ind w:firstLine="0"/>
              <w:jc w:val="left"/>
            </w:pPr>
            <w:r>
              <w:rPr>
                <w:rFonts w:ascii="??" w:hAnsi="??" w:eastAsia="??"/>
                <w:b w:val="0"/>
                <w:sz w:val="19"/>
              </w:rPr>
              <w:t>油气勘探与溢油应急、深水工程、数值建模与模拟验证</w:t>
            </w:r>
          </w:p>
        </w:tc>
      </w:tr>
      <w:tr>
        <w:tc>
          <w:tcPr>
            <w:tcW w:type="dxa" w:w="623"/>
            <w:vAlign w:val="center"/>
          </w:tcPr>
          <w:p>
            <w:pPr>
              <w:spacing w:line="276" w:lineRule="auto" w:after="0"/>
              <w:ind w:firstLine="0"/>
              <w:jc w:val="center"/>
            </w:pPr>
            <w:r>
              <w:rPr>
                <w:rFonts w:ascii="??" w:hAnsi="??" w:eastAsia="??"/>
                <w:b w:val="0"/>
                <w:sz w:val="19"/>
              </w:rPr>
              <w:t>5</w:t>
            </w:r>
          </w:p>
        </w:tc>
        <w:tc>
          <w:tcPr>
            <w:tcW w:type="dxa" w:w="1927"/>
            <w:vAlign w:val="center"/>
          </w:tcPr>
          <w:p>
            <w:pPr>
              <w:spacing w:line="276" w:lineRule="auto" w:after="0"/>
              <w:ind w:firstLine="0"/>
              <w:jc w:val="left"/>
            </w:pPr>
            <w:r>
              <w:rPr>
                <w:rFonts w:ascii="??" w:hAnsi="??" w:eastAsia="??"/>
                <w:b w:val="0"/>
                <w:sz w:val="19"/>
              </w:rPr>
              <w:t>蓝药生态转化育护型</w:t>
            </w:r>
          </w:p>
        </w:tc>
        <w:tc>
          <w:tcPr>
            <w:tcW w:type="dxa" w:w="680"/>
            <w:vAlign w:val="center"/>
          </w:tcPr>
          <w:p>
            <w:pPr>
              <w:spacing w:line="276" w:lineRule="auto" w:after="0"/>
              <w:ind w:firstLine="0"/>
              <w:jc w:val="center"/>
            </w:pPr>
            <w:r>
              <w:rPr>
                <w:rFonts w:ascii="??" w:hAnsi="??" w:eastAsia="??"/>
                <w:b w:val="0"/>
                <w:sz w:val="19"/>
              </w:rPr>
              <w:t>18</w:t>
            </w:r>
          </w:p>
        </w:tc>
        <w:tc>
          <w:tcPr>
            <w:tcW w:type="dxa" w:w="793"/>
            <w:vAlign w:val="center"/>
          </w:tcPr>
          <w:p>
            <w:pPr>
              <w:spacing w:line="276" w:lineRule="auto" w:after="0"/>
              <w:ind w:firstLine="0"/>
              <w:jc w:val="center"/>
            </w:pPr>
            <w:r>
              <w:rPr>
                <w:rFonts w:ascii="??" w:hAnsi="??" w:eastAsia="??"/>
                <w:b w:val="0"/>
                <w:sz w:val="19"/>
              </w:rPr>
              <w:t>8.7%</w:t>
            </w:r>
          </w:p>
        </w:tc>
        <w:tc>
          <w:tcPr>
            <w:tcW w:type="dxa" w:w="4536"/>
            <w:vAlign w:val="center"/>
          </w:tcPr>
          <w:p>
            <w:pPr>
              <w:spacing w:line="276" w:lineRule="auto" w:after="0"/>
              <w:ind w:firstLine="0"/>
              <w:jc w:val="left"/>
            </w:pPr>
            <w:r>
              <w:rPr>
                <w:rFonts w:ascii="??" w:hAnsi="??" w:eastAsia="??"/>
                <w:b w:val="0"/>
                <w:sz w:val="19"/>
              </w:rPr>
              <w:t>蓝色医药与生态保育、海试调查、产学研转化</w:t>
            </w:r>
          </w:p>
        </w:tc>
      </w:tr>
      <w:tr>
        <w:tc>
          <w:tcPr>
            <w:tcW w:type="dxa" w:w="623"/>
            <w:vAlign w:val="center"/>
          </w:tcPr>
          <w:p>
            <w:pPr>
              <w:spacing w:line="276" w:lineRule="auto" w:after="0"/>
              <w:ind w:firstLine="0"/>
              <w:jc w:val="center"/>
            </w:pPr>
            <w:r>
              <w:rPr>
                <w:rFonts w:ascii="??" w:hAnsi="??" w:eastAsia="??"/>
                <w:b w:val="0"/>
                <w:sz w:val="19"/>
              </w:rPr>
              <w:t>6</w:t>
            </w:r>
          </w:p>
        </w:tc>
        <w:tc>
          <w:tcPr>
            <w:tcW w:type="dxa" w:w="1927"/>
            <w:vAlign w:val="center"/>
          </w:tcPr>
          <w:p>
            <w:pPr>
              <w:spacing w:line="276" w:lineRule="auto" w:after="0"/>
              <w:ind w:firstLine="0"/>
              <w:jc w:val="left"/>
            </w:pPr>
            <w:r>
              <w:rPr>
                <w:rFonts w:ascii="??" w:hAnsi="??" w:eastAsia="??"/>
                <w:b w:val="0"/>
                <w:sz w:val="19"/>
              </w:rPr>
              <w:t>深海重器自立集成型</w:t>
            </w:r>
          </w:p>
        </w:tc>
        <w:tc>
          <w:tcPr>
            <w:tcW w:type="dxa" w:w="680"/>
            <w:vAlign w:val="center"/>
          </w:tcPr>
          <w:p>
            <w:pPr>
              <w:spacing w:line="276" w:lineRule="auto" w:after="0"/>
              <w:ind w:firstLine="0"/>
              <w:jc w:val="center"/>
            </w:pPr>
            <w:r>
              <w:rPr>
                <w:rFonts w:ascii="??" w:hAnsi="??" w:eastAsia="??"/>
                <w:b w:val="0"/>
                <w:sz w:val="19"/>
              </w:rPr>
              <w:t>34</w:t>
            </w:r>
          </w:p>
        </w:tc>
        <w:tc>
          <w:tcPr>
            <w:tcW w:type="dxa" w:w="793"/>
            <w:vAlign w:val="center"/>
          </w:tcPr>
          <w:p>
            <w:pPr>
              <w:spacing w:line="276" w:lineRule="auto" w:after="0"/>
              <w:ind w:firstLine="0"/>
              <w:jc w:val="center"/>
            </w:pPr>
            <w:r>
              <w:rPr>
                <w:rFonts w:ascii="??" w:hAnsi="??" w:eastAsia="??"/>
                <w:b w:val="0"/>
                <w:sz w:val="19"/>
              </w:rPr>
              <w:t>16.3%</w:t>
            </w:r>
          </w:p>
        </w:tc>
        <w:tc>
          <w:tcPr>
            <w:tcW w:type="dxa" w:w="4536"/>
            <w:vAlign w:val="center"/>
          </w:tcPr>
          <w:p>
            <w:pPr>
              <w:spacing w:line="276" w:lineRule="auto" w:after="0"/>
              <w:ind w:firstLine="0"/>
              <w:jc w:val="left"/>
            </w:pPr>
            <w:r>
              <w:rPr>
                <w:rFonts w:ascii="??" w:hAnsi="??" w:eastAsia="??"/>
                <w:b w:val="0"/>
                <w:sz w:val="19"/>
              </w:rPr>
              <w:t>深海潜器与深水工程、系统集成与标准化、科技自立</w:t>
            </w:r>
          </w:p>
        </w:tc>
      </w:tr>
      <w:tr>
        <w:tc>
          <w:tcPr>
            <w:tcW w:type="dxa" w:w="623"/>
            <w:vAlign w:val="center"/>
          </w:tcPr>
          <w:p>
            <w:pPr>
              <w:spacing w:line="276" w:lineRule="auto" w:after="0"/>
              <w:ind w:firstLine="0"/>
              <w:jc w:val="center"/>
            </w:pPr>
            <w:r>
              <w:rPr>
                <w:rFonts w:ascii="??" w:hAnsi="??" w:eastAsia="??"/>
                <w:b w:val="0"/>
                <w:sz w:val="19"/>
              </w:rPr>
              <w:t>7</w:t>
            </w:r>
          </w:p>
        </w:tc>
        <w:tc>
          <w:tcPr>
            <w:tcW w:type="dxa" w:w="1927"/>
            <w:vAlign w:val="center"/>
          </w:tcPr>
          <w:p>
            <w:pPr>
              <w:spacing w:line="276" w:lineRule="auto" w:after="0"/>
              <w:ind w:firstLine="0"/>
              <w:jc w:val="left"/>
            </w:pPr>
            <w:r>
              <w:rPr>
                <w:rFonts w:ascii="??" w:hAnsi="??" w:eastAsia="??"/>
                <w:b w:val="0"/>
                <w:sz w:val="19"/>
              </w:rPr>
              <w:t>海穹地脉灾害预警型</w:t>
            </w:r>
          </w:p>
        </w:tc>
        <w:tc>
          <w:tcPr>
            <w:tcW w:type="dxa" w:w="680"/>
            <w:vAlign w:val="center"/>
          </w:tcPr>
          <w:p>
            <w:pPr>
              <w:spacing w:line="276" w:lineRule="auto" w:after="0"/>
              <w:ind w:firstLine="0"/>
              <w:jc w:val="center"/>
            </w:pPr>
            <w:r>
              <w:rPr>
                <w:rFonts w:ascii="??" w:hAnsi="??" w:eastAsia="??"/>
                <w:b w:val="0"/>
                <w:sz w:val="19"/>
              </w:rPr>
              <w:t>36</w:t>
            </w:r>
          </w:p>
        </w:tc>
        <w:tc>
          <w:tcPr>
            <w:tcW w:type="dxa" w:w="793"/>
            <w:vAlign w:val="center"/>
          </w:tcPr>
          <w:p>
            <w:pPr>
              <w:spacing w:line="276" w:lineRule="auto" w:after="0"/>
              <w:ind w:firstLine="0"/>
              <w:jc w:val="center"/>
            </w:pPr>
            <w:r>
              <w:rPr>
                <w:rFonts w:ascii="??" w:hAnsi="??" w:eastAsia="??"/>
                <w:b w:val="0"/>
                <w:sz w:val="19"/>
              </w:rPr>
              <w:t>17.3%</w:t>
            </w:r>
          </w:p>
        </w:tc>
        <w:tc>
          <w:tcPr>
            <w:tcW w:type="dxa" w:w="4536"/>
            <w:vAlign w:val="center"/>
          </w:tcPr>
          <w:p>
            <w:pPr>
              <w:spacing w:line="276" w:lineRule="auto" w:after="0"/>
              <w:ind w:firstLine="0"/>
              <w:jc w:val="left"/>
            </w:pPr>
            <w:r>
              <w:rPr>
                <w:rFonts w:ascii="??" w:hAnsi="??" w:eastAsia="??"/>
                <w:b w:val="0"/>
                <w:sz w:val="19"/>
              </w:rPr>
              <w:t>海气地质与灾害预报、数值模拟验证、深蓝探索</w:t>
            </w:r>
          </w:p>
        </w:tc>
      </w:tr>
    </w:tbl>
    <w:p>
      <w:pPr>
        <w:ind w:firstLine="0"/>
      </w:pPr>
    </w:p>
    <w:p>
      <w:pPr/>
      <w:r>
        <w:rPr>
          <w:rFonts w:ascii="??" w:hAnsi="??" w:eastAsia="??"/>
          <w:b w:val="0"/>
          <w:sz w:val="24"/>
        </w:rPr>
        <w:t>第一，蓝潮风电预报领航型人才主要面向海浪、环流、海气相互作用和海上风电工程服务，依靠数值建模、现场验证和观测数据融合形成预报与工程保障能力。其价值底色集中于服务海洋强国、科研报国和重大工程需求，适合支撑海洋环境预报、海上风电安全和灾害风险服务。</w:t>
      </w:r>
    </w:p>
    <w:p>
      <w:pPr/>
      <w:r>
        <w:rPr>
          <w:rFonts w:ascii="??" w:hAnsi="??" w:eastAsia="??"/>
          <w:b w:val="0"/>
          <w:sz w:val="24"/>
        </w:rPr>
        <w:t>第二，蓝海科教经略枢纽型人才以海洋科教、学科治理、平台建设和知识传播为主要特色，连接科研、教育、治理和产业。其突出能力不是单一科研方向，而是跨学科产学研转化、国际协作和平台组织能力，适合承担海洋学科布局、人才培养、科普传播和治理咨询任务。</w:t>
      </w:r>
    </w:p>
    <w:p>
      <w:pPr/>
      <w:r>
        <w:rPr>
          <w:rFonts w:ascii="??" w:hAnsi="??" w:eastAsia="??"/>
          <w:b w:val="0"/>
          <w:sz w:val="24"/>
        </w:rPr>
        <w:t>第三，海港远航观测舵手型人才以船港航海、海上作业和远航实践为核心，强调一线实践、装备标准、系统集成和远洋观测。该类人才将海上经验转化为装备、标准和保障体系，是远航科考、船港工程和海上作业体系的重要支撑。</w:t>
      </w:r>
    </w:p>
    <w:p>
      <w:pPr/>
      <w:r>
        <w:rPr>
          <w:rFonts w:ascii="??" w:hAnsi="??" w:eastAsia="??"/>
          <w:b w:val="0"/>
          <w:sz w:val="24"/>
        </w:rPr>
        <w:t>第四，碧湾种业养殖育蓝型人才聚焦水产生物种业、生态养殖和蓝色粮仓建设，外层专业方向鲜明，中层依靠实地验证、长期选育、产学研转化和应用推广，内层突出生态守护和可持续利用。该类人才对海洋生物资源安全和现代渔业升级具有直接意义。</w:t>
      </w:r>
    </w:p>
    <w:p>
      <w:pPr/>
      <w:r>
        <w:rPr>
          <w:rFonts w:ascii="??" w:hAnsi="??" w:eastAsia="??"/>
          <w:b w:val="0"/>
          <w:sz w:val="24"/>
        </w:rPr>
        <w:t>第五，深水油气工程攻坚型人才规模较小，仅9人，占4.3%，但具有较高战略价值。其能力集中于深水油气勘探、溢油应急、深水工程和数值模拟，服务能源安全和海洋工程关键任务。该类人才提示政策制定不能只看群体规模，也要识别“小规模、高专精、高战略性”的关键人才。</w:t>
      </w:r>
    </w:p>
    <w:p>
      <w:pPr/>
      <w:r>
        <w:rPr>
          <w:rFonts w:ascii="??" w:hAnsi="??" w:eastAsia="??"/>
          <w:b w:val="0"/>
          <w:sz w:val="24"/>
        </w:rPr>
        <w:t>第六，蓝药生态转化育护型人才在蓝色医药、海洋生物活性物质开发和生态保育方面得分突出，依靠海试调查、跨学科转化和系统化应用，将海洋生物资源研究转化为医药、保育和生态应用。其创造力体现为科学发现、资源保护和高值化利用的结合。</w:t>
      </w:r>
    </w:p>
    <w:p>
      <w:pPr/>
      <w:r>
        <w:rPr>
          <w:rFonts w:ascii="??" w:hAnsi="??" w:eastAsia="??"/>
          <w:b w:val="0"/>
          <w:sz w:val="24"/>
        </w:rPr>
        <w:t>第七，深海重器自立集成型人才聚焦深海潜器、深水工程、智能装备和重大涉海平台，依靠产学研转化、系统集成、标准化和工程验证形成重器攻关能力。科技自立、坚韧攻坚和科研报国构成其深层动机，是深海装备自主可控的重要人才基础。</w:t>
      </w:r>
    </w:p>
    <w:p>
      <w:pPr/>
      <w:r>
        <w:rPr>
          <w:rFonts w:ascii="??" w:hAnsi="??" w:eastAsia="??"/>
          <w:b w:val="0"/>
          <w:sz w:val="24"/>
        </w:rPr>
        <w:t>第八，海穹地脉灾害预警型人才覆盖海气地质、灾害预报、极地冰区、热液冷泉和远洋探测等方向，依托数值模拟、多源数据融合、实地调查和深蓝探索，形成海空地一体化认知与预警能力。该类人才体现了海洋科学从局部观测走向系统认知的复合化趋势。</w:t>
      </w:r>
    </w:p>
    <w:p>
      <w:pPr>
        <w:pStyle w:val="Heading1"/>
        <w:ind w:firstLine="0"/>
        <w:jc w:val="left"/>
      </w:pPr>
      <w:r>
        <w:rPr>
          <w:rFonts w:ascii="??" w:hAnsi="??" w:eastAsia="??"/>
          <w:b/>
          <w:sz w:val="30"/>
        </w:rPr>
        <w:t>六、讨论：三层创造力结构的理论与政策含义</w:t>
      </w:r>
    </w:p>
    <w:p>
      <w:pPr>
        <w:pStyle w:val="Heading2"/>
        <w:ind w:firstLine="0"/>
        <w:jc w:val="left"/>
      </w:pPr>
      <w:r>
        <w:rPr>
          <w:rFonts w:ascii="??" w:hAnsi="??" w:eastAsia="??"/>
          <w:b/>
          <w:sz w:val="28"/>
        </w:rPr>
        <w:t>（一）从“成果画像”转向“创造力构型”</w:t>
      </w:r>
    </w:p>
    <w:p>
      <w:pPr/>
      <w:r>
        <w:rPr>
          <w:rFonts w:ascii="??" w:hAnsi="??" w:eastAsia="??"/>
          <w:b w:val="0"/>
          <w:sz w:val="24"/>
        </w:rPr>
        <w:t>本文结果表明，海洋科技人才不能仅以成果数量或荣誉等级来概括。外层能力揭示其在哪些海洋赛道形成成果，中层能力解释其如何组织知识、方法和资源，内层能力说明其为何长期投入。三层结合后，人才画像从静态标签转向创造力构型。例如同样具有海洋强国使命的人才，可能因中层过程能力不同而分别形成深海装备、海洋预报、水产种业或蓝色医药等不同成果路径。</w:t>
      </w:r>
    </w:p>
    <w:p>
      <w:pPr/>
      <w:r>
        <w:rPr>
          <w:rFonts w:ascii="??" w:hAnsi="??" w:eastAsia="??"/>
          <w:b w:val="0"/>
          <w:sz w:val="24"/>
        </w:rPr>
        <w:t>从成长逻辑看，海洋科技人才的多重构型可概括为“战略任务牵引、内隐动机激活、协同能力涌现、专业成果显化”的链条。国家海洋战略和重大工程任务构成外部牵引，海洋强国、科研报国、科技自立等深层动机被持续激活，进而通过跨学科协同、现场验证、数值模拟、系统集成等过程能力转化为不同海洋赛道中的可见成果。需要说明的是，本文基于公开文本识别的是能力共现和构型差异，不能直接证明个体成长的因果顺序，但这一链条有助于理解三层能力之间的组织关系。</w:t>
      </w:r>
    </w:p>
    <w:p>
      <w:pPr>
        <w:pStyle w:val="Heading2"/>
        <w:ind w:firstLine="0"/>
        <w:jc w:val="left"/>
      </w:pPr>
      <w:r>
        <w:rPr>
          <w:rFonts w:ascii="??" w:hAnsi="??" w:eastAsia="??"/>
          <w:b/>
          <w:sz w:val="28"/>
        </w:rPr>
        <w:t>（二）协同创新支撑能力是分类培养的关键抓手</w:t>
      </w:r>
    </w:p>
    <w:p>
      <w:pPr/>
      <w:r>
        <w:rPr>
          <w:rFonts w:ascii="??" w:hAnsi="??" w:eastAsia="??"/>
          <w:b w:val="0"/>
          <w:sz w:val="24"/>
        </w:rPr>
        <w:t>跨学科产学研转化覆盖193人，占92.3%，说明海洋科技人才普遍处于科学、工程、产业和治理交叉位置。实地验证与现场调查、数值建模与模拟验证、系统集成与标准化同样具有高覆盖率，表明海洋科技创新不是“实验室知识”向外简单扩散，而是在海上现场、工程系统、数据模型和产业应用之间反复迭代。人才政策若只支持项目和荣誉，容易忽略这些过程能力的积累。未来应围绕海试机会、长期观测平台、跨学科团队、工程验证条件、标准制定参与和产学研转化机制，设计更细颗粒度的人才支持工具。</w:t>
      </w:r>
    </w:p>
    <w:p>
      <w:pPr>
        <w:pStyle w:val="Heading2"/>
        <w:ind w:firstLine="0"/>
        <w:jc w:val="left"/>
      </w:pPr>
      <w:r>
        <w:rPr>
          <w:rFonts w:ascii="??" w:hAnsi="??" w:eastAsia="??"/>
          <w:b/>
          <w:sz w:val="28"/>
        </w:rPr>
        <w:t>（三）精神内核是海洋科技长期主义的重要来源</w:t>
      </w:r>
    </w:p>
    <w:p>
      <w:pPr/>
      <w:r>
        <w:rPr>
          <w:rFonts w:ascii="??" w:hAnsi="??" w:eastAsia="??"/>
          <w:b w:val="0"/>
          <w:sz w:val="24"/>
        </w:rPr>
        <w:t>海洋科技任务普遍周期长、风险高、现场条件艰苦，许多方向短期内难以形成显性绩效。内层主题显示，海洋强国使命、坚韧攻坚、科研报国、国之大者和科技自立是多数人才共享的价值底色。这说明海洋科技人才培养不能仅依赖物质激励和项目竞争，还需要通过国家战略任务牵引、重大工程历练、海洋文化涵育和科学家精神传承，激发长期主义和使命感。</w:t>
      </w:r>
    </w:p>
    <w:p>
      <w:pPr>
        <w:pStyle w:val="Heading2"/>
        <w:ind w:firstLine="0"/>
        <w:jc w:val="left"/>
      </w:pPr>
      <w:r>
        <w:rPr>
          <w:rFonts w:ascii="??" w:hAnsi="??" w:eastAsia="??"/>
          <w:b/>
          <w:sz w:val="28"/>
        </w:rPr>
        <w:t>（四）人才政策应从同质支持转向类型化治理</w:t>
      </w:r>
    </w:p>
    <w:p>
      <w:pPr/>
      <w:r>
        <w:rPr>
          <w:rFonts w:ascii="??" w:hAnsi="??" w:eastAsia="??"/>
          <w:b w:val="0"/>
          <w:sz w:val="24"/>
        </w:rPr>
        <w:t>八类画像显示，不同海洋赛道的人才需求差异明显。深水油气工程攻坚型、深海重器自立集成型需要重大工程平台、稳定试验条件和关键核心技术攻关机制；蓝潮风电预报领航型、海穹地脉灾害预警型需要长期观测、模式研发、数据融合和业务化应用通道；碧湾种业养殖育蓝型、蓝药生态转化育护型需要长期选育、生态验证、产业转化和知识产权支持；蓝海科教经略枢纽型需要学科平台、国际合作、科普传播和治理咨询空间。因此，海洋战略人才政策应从统一评价、统一资助转向按画像配置平台、任务、团队和激励。</w:t>
      </w:r>
    </w:p>
    <w:p>
      <w:pPr>
        <w:pStyle w:val="Heading1"/>
        <w:ind w:firstLine="0"/>
        <w:jc w:val="left"/>
      </w:pPr>
      <w:r>
        <w:rPr>
          <w:rFonts w:ascii="??" w:hAnsi="??" w:eastAsia="??"/>
          <w:b/>
          <w:sz w:val="30"/>
        </w:rPr>
        <w:t>七、政策启示</w:t>
      </w:r>
    </w:p>
    <w:p>
      <w:pPr/>
      <w:r>
        <w:rPr>
          <w:rFonts w:ascii="??" w:hAnsi="??" w:eastAsia="??"/>
          <w:b w:val="0"/>
          <w:sz w:val="24"/>
        </w:rPr>
        <w:t>第一，建立面向“十五五”海洋战略任务的三层人才识别体系。人才评价不应只看论文、项目和奖项，还应识别其领域表征、协同过程和价值动机。可在海洋科技人才遴选中引入“做什么、如何做成、为何坚持”的结构化评价框架，将海洋经济高质量发展、海洋科技自立自强、海洋生态保护、海洋权益维护和全球海洋治理等任务转化为人才画像识别维度。</w:t>
      </w:r>
    </w:p>
    <w:p>
      <w:pPr/>
      <w:r>
        <w:rPr>
          <w:rFonts w:ascii="??" w:hAnsi="??" w:eastAsia="??"/>
          <w:b w:val="0"/>
          <w:sz w:val="24"/>
        </w:rPr>
        <w:t>第二，强化中层过程能力培养。围绕跨学科产学研转化、海试调查、数值建模、系统集成、标准化和多源数据融合，建设跨机构训练平台和真实任务场景。尤其要把青年人才放入航次、海试、重大工程、产业转化和国际合作中历练，而不是仅在单一学科评价体系中成长。政策上可与“蓝色人才”专项计划、海洋和极地国家实验室、全国重点实验室、海洋科技领军企业和专精特新中小企业培育相衔接，形成教育、科技、人才一体推进机制。</w:t>
      </w:r>
    </w:p>
    <w:p>
      <w:pPr/>
      <w:r>
        <w:rPr>
          <w:rFonts w:ascii="??" w:hAnsi="??" w:eastAsia="??"/>
          <w:b w:val="0"/>
          <w:sz w:val="24"/>
        </w:rPr>
        <w:t>第三，分类配置海洋科技创新平台。对深海装备、油气工程、海上风电、灾害预警、蓝色生物资源和海洋治理等不同人才类型，应提供差异化平台支持。高战略价值但规模较小的类型，应通过长期稳定支持、国家任务牵引和关键岗位储备予以保护。</w:t>
      </w:r>
    </w:p>
    <w:p>
      <w:pPr/>
      <w:r>
        <w:rPr>
          <w:rFonts w:ascii="??" w:hAnsi="??" w:eastAsia="??"/>
          <w:b w:val="0"/>
          <w:sz w:val="24"/>
        </w:rPr>
        <w:t>第四，完善海洋科技人才的长期激励机制。海洋科技创新的不确定性和长周期特征要求评价制度降低短期化压力，鼓励长期观测、基础数据积累、装备迭代、标准制定和工程验证等难以快速产出的工作。对于承担国家战略任务和艰苦现场任务的人才，应在评价、资源和荣誉体系中给予制度性体现。</w:t>
      </w:r>
    </w:p>
    <w:p>
      <w:pPr/>
      <w:r>
        <w:rPr>
          <w:rFonts w:ascii="??" w:hAnsi="??" w:eastAsia="??"/>
          <w:b w:val="0"/>
          <w:sz w:val="24"/>
        </w:rPr>
        <w:t>第五，重视深蓝精神内核的组织培育。海洋强国使命、科研报国、科技自立和生态守护不是自然生成的口号，而需要在重大任务、团队文化、学术传承和国家战略叙事中持续塑造。高校、科研院所和涉海企业应将科学家精神、海洋文化和国家需求教育嵌入人才培养全过程，使人才成长与向海图强的国家战略同向发力。</w:t>
      </w:r>
    </w:p>
    <w:p>
      <w:pPr>
        <w:pStyle w:val="Heading1"/>
        <w:ind w:firstLine="0"/>
        <w:jc w:val="left"/>
      </w:pPr>
      <w:r>
        <w:rPr>
          <w:rFonts w:ascii="??" w:hAnsi="??" w:eastAsia="??"/>
          <w:b/>
          <w:sz w:val="30"/>
        </w:rPr>
        <w:t>八、结论和展望</w:t>
      </w:r>
    </w:p>
    <w:p>
      <w:pPr/>
      <w:r>
        <w:rPr>
          <w:rFonts w:ascii="??" w:hAnsi="??" w:eastAsia="??"/>
          <w:b w:val="0"/>
          <w:sz w:val="24"/>
        </w:rPr>
        <w:t>本文基于创造力三层理论，构建“蓝色胜任表征-协同创新支撑-深蓝精神内核”的海洋科技人才分析框架，并利用208位中国海洋科技人才有效样本的公开文本进行大语言模型辅助编码、主题识别和个体画像聚类。研究发现：第一，海洋科技人才能力可概括为14项外层领域表征、6项中层创新过程能力和7项内层价值动机；第二，跨学科产学研转化、实地验证与现场调查、数值建模与模拟验证、系统集成与标准化是海洋科技创造力的重要过程支撑；第三，海洋强国使命、坚韧攻坚、科研报国和科技自立构成多数人才共享的精神内核；第四，海洋科技人才可分为8类画像，体现不同海洋赛道、过程能力和价值动机的组合差异。</w:t>
      </w:r>
    </w:p>
    <w:p>
      <w:pPr/>
      <w:r>
        <w:rPr>
          <w:rFonts w:ascii="??" w:hAnsi="??" w:eastAsia="??"/>
          <w:b w:val="0"/>
          <w:sz w:val="24"/>
        </w:rPr>
        <w:t>本文也存在不足。第一，数据来自公开文本，受报道选择、人物知名度和叙事风格影响，不能完全代表人才全部能力。第二，大语言模型辅助编码提高了大规模文本处理效率，但仍需更多专家复核来增强标签稳定性。第三，聚类结果反映的是能力共现结构和画像类型，不能直接推断因果关系。未来研究可结合专家访谈、问卷测量、科研产出数据和组织环境变量，进一步检验三层创造力结构对人才成长和创新绩效的解释力。</w:t>
      </w:r>
    </w:p>
    <w:p>
      <w:pPr>
        <w:pStyle w:val="Heading1"/>
        <w:ind w:firstLine="0"/>
        <w:jc w:val="left"/>
      </w:pPr>
      <w:r>
        <w:rPr>
          <w:rFonts w:ascii="??" w:hAnsi="??" w:eastAsia="??"/>
          <w:b/>
          <w:sz w:val="30"/>
        </w:rPr>
        <w:t>参考文献（待按《中国软科学》格式核校）</w:t>
      </w:r>
    </w:p>
    <w:p>
      <w:pPr/>
      <w:r>
        <w:rPr>
          <w:rFonts w:ascii="??" w:hAnsi="??" w:eastAsia="??"/>
          <w:b w:val="0"/>
          <w:sz w:val="24"/>
        </w:rPr>
        <w:t>[1] 新华社. 习近平在中共中央政治局第八次集体学习时强调进一步关心海洋认识海洋经略海洋推动海洋强国建设不断取得新成就[EB/OL]. 2013-07-31. https://www.xinhuanet.com/politics/2013-07/31/c_116762285.htm.</w:t>
      </w:r>
    </w:p>
    <w:p>
      <w:pPr/>
      <w:r>
        <w:rPr>
          <w:rFonts w:ascii="??" w:hAnsi="??" w:eastAsia="??"/>
          <w:b w:val="0"/>
          <w:sz w:val="24"/>
        </w:rPr>
        <w:t>[2] 习近平. 推动海洋经济高质量发展[J/OL]. 求是, 2026(6). https://www.qstheory.cn/20260314/eca2335226a84f3f8d583926b70fef9b/c.html.</w:t>
      </w:r>
    </w:p>
    <w:p>
      <w:pPr/>
      <w:r>
        <w:rPr>
          <w:rFonts w:ascii="??" w:hAnsi="??" w:eastAsia="??"/>
          <w:b w:val="0"/>
          <w:sz w:val="24"/>
        </w:rPr>
        <w:t>[3] 国家数据局. “十五五”规划纲要草案，摘要来了[EB/OL]. 2026-03-08. https://www.nda.gov.cn/sjj/swdt/xwfb/0308/20260308145749918872055_pc.html.</w:t>
      </w:r>
    </w:p>
    <w:p>
      <w:pPr/>
      <w:r>
        <w:rPr>
          <w:rFonts w:ascii="??" w:hAnsi="??" w:eastAsia="??"/>
          <w:b w:val="0"/>
          <w:sz w:val="24"/>
        </w:rPr>
        <w:t>[4] 姚郁. 以“新工科”建设为牵引 培育海洋领域科技领军人才[J]. 中国高等教育, 2024(5): 12-15.</w:t>
      </w:r>
    </w:p>
    <w:p>
      <w:pPr/>
      <w:r>
        <w:rPr>
          <w:rFonts w:ascii="??" w:hAnsi="??" w:eastAsia="??"/>
          <w:b w:val="0"/>
          <w:sz w:val="24"/>
        </w:rPr>
        <w:t>[5] 郭建科, 高京燕, 熊子尧. 中国海洋研究型人才流动网络及动态变化: 基于知网数据分析[J]. 热带地理, 2024, 44(9): 1686-1701.</w:t>
      </w:r>
    </w:p>
    <w:p>
      <w:pPr/>
      <w:r>
        <w:rPr>
          <w:rFonts w:ascii="??" w:hAnsi="??" w:eastAsia="??"/>
          <w:b w:val="0"/>
          <w:sz w:val="24"/>
        </w:rPr>
        <w:t>[6] 彭天玥, 丁望, 袁野, 等. 国际大洋钻探计划杰出人才及其科学贡献[J]. 中国科学院院刊, 2025, 40(2): 380-396.</w:t>
      </w:r>
    </w:p>
    <w:p>
      <w:pPr/>
      <w:r>
        <w:rPr>
          <w:rFonts w:ascii="??" w:hAnsi="??" w:eastAsia="??"/>
          <w:b w:val="0"/>
          <w:sz w:val="24"/>
        </w:rPr>
        <w:t>[7] Shellock R J, Cvitanovic C, McKinnon M C, et al. Building leaders for the UN Ocean Science Decade: A guide to supporting early career women researchers within academic marine research institutions[J]. ICES Journal of Marine Science, 2023, 80(1): 56-75.</w:t>
      </w:r>
    </w:p>
    <w:p>
      <w:pPr/>
      <w:r>
        <w:rPr>
          <w:rFonts w:ascii="??" w:hAnsi="??" w:eastAsia="??"/>
          <w:b w:val="0"/>
          <w:sz w:val="24"/>
        </w:rPr>
        <w:t>[8] Blythe J, Cvitanovic C. Five organizational features that enable successful interdisciplinary marine research[J]. Frontiers in Marine Science, 2020, 7: 539111.</w:t>
      </w:r>
    </w:p>
    <w:p>
      <w:pPr/>
      <w:r>
        <w:rPr>
          <w:rFonts w:ascii="??" w:hAnsi="??" w:eastAsia="??"/>
          <w:b w:val="0"/>
          <w:sz w:val="24"/>
        </w:rPr>
        <w:t>[9] Spalding A K, Grorud-Colvert K, Allison E H, et al. Engaging the tropical majority to make ocean governance and science more equitable and effective[J]. npj Ocean Sustainability, 2023, 2: 8.</w:t>
      </w:r>
    </w:p>
    <w:p>
      <w:pPr/>
      <w:r>
        <w:rPr>
          <w:rFonts w:ascii="??" w:hAnsi="??" w:eastAsia="??"/>
          <w:b w:val="0"/>
          <w:sz w:val="24"/>
        </w:rPr>
        <w:t>[10] 王艳芬, 刘继安, 吴岳良, 等. 深化科教融合, 培养未来科技领军人才[J]. 中国科学院院刊, 2023, 38(5): 693-699.</w:t>
      </w:r>
    </w:p>
    <w:p>
      <w:pPr/>
      <w:r>
        <w:rPr>
          <w:rFonts w:ascii="??" w:hAnsi="??" w:eastAsia="??"/>
          <w:b w:val="0"/>
          <w:sz w:val="24"/>
        </w:rPr>
        <w:t>[11] 王昉, 申金升, 武虹, 等. 战略科学家典型特征量化评估: 探索与实证研究[J]. 中国科学院院刊, 2023, 38(10): 1475-1489.</w:t>
      </w:r>
    </w:p>
    <w:p>
      <w:pPr/>
      <w:r>
        <w:rPr>
          <w:rFonts w:ascii="??" w:hAnsi="??" w:eastAsia="??"/>
          <w:b w:val="0"/>
          <w:sz w:val="24"/>
        </w:rPr>
        <w:t>[12] 米硕, 董昌其, 刘颖. 科技人才的数据洞察及人才画像: 原理与应用[J]. 科学学研究, 2025, 43(6): 1170-1179.</w:t>
      </w:r>
    </w:p>
    <w:p>
      <w:pPr/>
      <w:r>
        <w:rPr>
          <w:rFonts w:ascii="??" w:hAnsi="??" w:eastAsia="??"/>
          <w:b w:val="0"/>
          <w:sz w:val="24"/>
        </w:rPr>
        <w:t>[13] 张洋, 黄子萱, 朱嘉麒. 青年科技人才画像及鉴识方法研究[J]. 情报学报, 2024, 43(11): 1283-1296.</w:t>
      </w:r>
    </w:p>
    <w:p>
      <w:pPr/>
      <w:r>
        <w:rPr>
          <w:rFonts w:ascii="??" w:hAnsi="??" w:eastAsia="??"/>
          <w:b w:val="0"/>
          <w:sz w:val="24"/>
        </w:rPr>
        <w:t>[14] 宋培彦, 龙晨翔, 李怡然, 等. 基于冰山模型的科研人员学术专长识别方法研究[J]. 数据分析与知识发现, 2023, 7(6): 50-60.</w:t>
      </w:r>
    </w:p>
    <w:p>
      <w:pPr/>
      <w:r>
        <w:rPr>
          <w:rFonts w:ascii="??" w:hAnsi="??" w:eastAsia="??"/>
          <w:b w:val="0"/>
          <w:sz w:val="24"/>
        </w:rPr>
        <w:t>[15] 赵晨, 林晨, 王宏飞, 等. 企业科技领军人才的多重构型及成才路径: 基于大语言模型(LLMs)的质性分析[J]. 中国软科学, 2025(2): 130-139.</w:t>
      </w:r>
    </w:p>
    <w:p>
      <w:pPr/>
      <w:r>
        <w:rPr>
          <w:rFonts w:ascii="??" w:hAnsi="??" w:eastAsia="??"/>
          <w:b w:val="0"/>
          <w:sz w:val="24"/>
        </w:rPr>
        <w:t>[16] Krauss J, Kolesnikov S, Petersen A M, et al. Early-career factors largely determine the future impact of prominent researchers: Evidence across eight scientific fields[J]. Scientific Reports, 2023, 13: 18794.</w:t>
      </w:r>
    </w:p>
    <w:p>
      <w:pPr/>
      <w:r>
        <w:rPr>
          <w:rFonts w:ascii="??" w:hAnsi="??" w:eastAsia="??"/>
          <w:b w:val="0"/>
          <w:sz w:val="24"/>
        </w:rPr>
        <w:t>[17] Ploszaj A. Individual-level determinants of international academic mobility: A global study of researchers[J]. Scientometrics, 2025, 130: 3651-3674.</w:t>
      </w:r>
    </w:p>
    <w:p>
      <w:pPr/>
      <w:r>
        <w:rPr>
          <w:rFonts w:ascii="??" w:hAnsi="??" w:eastAsia="??"/>
          <w:b w:val="0"/>
          <w:sz w:val="24"/>
        </w:rPr>
        <w:t>[18] Bojica A M, Pina-Stranger A, Fernández-Alles M, et al. A cross-country configurational approach to international academic mobility: Exploring mobility effects on academics' career progression in EU higher education[J]. Higher Education, 2023, 86: 593-621.</w:t>
      </w:r>
    </w:p>
    <w:p>
      <w:pPr/>
      <w:r>
        <w:rPr>
          <w:rFonts w:ascii="??" w:hAnsi="??" w:eastAsia="??"/>
          <w:b w:val="0"/>
          <w:sz w:val="24"/>
        </w:rPr>
        <w:t>[19] Huang Y, Li B, Zhang L, et al. Talent hat, cross-border mobility, and career development in China[J]. Quantitative Science Studies, 2024, 5(3): 516-541.</w:t>
      </w:r>
    </w:p>
    <w:p>
      <w:pPr/>
      <w:r>
        <w:rPr>
          <w:rFonts w:ascii="??" w:hAnsi="??" w:eastAsia="??"/>
          <w:b w:val="0"/>
          <w:sz w:val="24"/>
        </w:rPr>
        <w:t>[20] Amabile T M. The social psychology of creativity: A componential conceptualization[J]. Journal of Personality and Social Psychology, 1983, 45(2): 357-376.</w:t>
      </w:r>
    </w:p>
    <w:p>
      <w:pPr/>
      <w:r>
        <w:rPr>
          <w:rFonts w:ascii="??" w:hAnsi="??" w:eastAsia="??"/>
          <w:b w:val="0"/>
          <w:sz w:val="24"/>
        </w:rPr>
        <w:t>[21] Amabile T M. Creativity in Context: Update to the Social Psychology of Creativity[M]. Boulder: Westview Press, 1996.</w:t>
      </w:r>
    </w:p>
    <w:p>
      <w:pPr/>
      <w:r>
        <w:rPr>
          <w:rFonts w:ascii="??" w:hAnsi="??" w:eastAsia="??"/>
          <w:b w:val="0"/>
          <w:sz w:val="24"/>
        </w:rPr>
        <w:t>[22] Amabile T M, Pratt M G. The dynamic componential model of creativity and innovation in organizations: Making progress, making meaning[J]. Research in Organizational Behavior, 2016, 36: 157-183.</w:t>
      </w:r>
    </w:p>
    <w:p>
      <w:pPr/>
      <w:r>
        <w:rPr>
          <w:rFonts w:ascii="??" w:hAnsi="??" w:eastAsia="??"/>
          <w:b w:val="0"/>
          <w:sz w:val="24"/>
        </w:rPr>
        <w:t>[23] 郭庆宾, 熊永莎, 孙世芳. 大国博弈背景下加快海洋科技创新的挑战与建议[J]. 中国科学院院刊, 2026, 41(4): 707-714.</w:t>
      </w:r>
    </w:p>
    <w:p>
      <w:pPr/>
      <w:r>
        <w:rPr>
          <w:rFonts w:ascii="??" w:hAnsi="??" w:eastAsia="??"/>
          <w:b w:val="0"/>
          <w:sz w:val="24"/>
        </w:rPr>
        <w:t>[24] 吴欣. 科技创新与产业创新深度融合助推海洋新质生产力发展[J]. 科学管理研究, 2026, 44(2): 55-65.</w:t>
      </w:r>
    </w:p>
    <w:p>
      <w:pPr/>
      <w:r>
        <w:rPr>
          <w:rFonts w:ascii="??" w:hAnsi="??" w:eastAsia="??"/>
          <w:b w:val="0"/>
          <w:sz w:val="24"/>
        </w:rPr>
        <w:t>[25] Potter R W K, Pearson B C. Assessing the global ocean science community: Understanding international collaboration, concerns and the current state of ocean basin research[J]. npj Ocean Sustainability, 2023, 2: 14.</w:t>
      </w:r>
    </w:p>
    <w:p>
      <w:pPr/>
      <w:r>
        <w:rPr>
          <w:rFonts w:ascii="??" w:hAnsi="??" w:eastAsia="??"/>
          <w:b w:val="0"/>
          <w:sz w:val="24"/>
        </w:rPr>
        <w:t>[26] Harden-Davies H, Amon D J, Vierros M, et al. Capacity development in the Ocean Decade and beyond: Key questions about meanings, motivations, pathways, and measurements[J]. Earth System Governance, 2022, 12: 100138.</w:t>
      </w:r>
    </w:p>
    <w:p>
      <w:pPr>
        <w:pStyle w:val="Heading1"/>
        <w:ind w:firstLine="0"/>
        <w:jc w:val="left"/>
      </w:pPr>
      <w:r>
        <w:rPr>
          <w:rFonts w:ascii="??" w:hAnsi="??" w:eastAsia="??"/>
          <w:b/>
          <w:sz w:val="30"/>
        </w:rPr>
        <w:t>投稿前待补清单</w:t>
      </w:r>
    </w:p>
    <w:p>
      <w:pPr/>
      <w:r>
        <w:rPr>
          <w:rFonts w:ascii="??" w:hAnsi="??" w:eastAsia="??"/>
          <w:b w:val="0"/>
          <w:sz w:val="24"/>
        </w:rPr>
        <w:t>1. 补充作者、单位、基金项目、通讯作者、作者简介。</w:t>
      </w:r>
    </w:p>
    <w:p>
      <w:pPr/>
      <w:r>
        <w:rPr>
          <w:rFonts w:ascii="??" w:hAnsi="??" w:eastAsia="??"/>
          <w:b w:val="0"/>
          <w:sz w:val="24"/>
        </w:rPr>
        <w:t>2. 核对《中国软科学》参考文献格式，并补充中文领域文献，尤其是战略科技人才、海洋强国、海洋科技创新和海洋人才培养相关文献。</w:t>
      </w:r>
    </w:p>
    <w:p>
      <w:pPr/>
      <w:r>
        <w:rPr>
          <w:rFonts w:ascii="??" w:hAnsi="??" w:eastAsia="??"/>
          <w:b w:val="0"/>
          <w:sz w:val="24"/>
        </w:rPr>
        <w:t>3. 将方法中的模型参数与最终运行记录完全对齐，尤其是主题模型K值、聚类K值选择依据和轮廓系数。</w:t>
      </w:r>
    </w:p>
    <w:p>
      <w:pPr/>
      <w:r>
        <w:rPr>
          <w:rFonts w:ascii="??" w:hAnsi="??" w:eastAsia="??"/>
          <w:b w:val="0"/>
          <w:sz w:val="24"/>
        </w:rPr>
        <w:t>4. 对能力主题命名和8类画像进行2-3名海洋领域专家复核，提高解释效度。</w:t>
      </w:r>
    </w:p>
    <w:p>
      <w:pPr/>
      <w:r>
        <w:rPr>
          <w:rFonts w:ascii="??" w:hAnsi="??" w:eastAsia="??"/>
          <w:b w:val="0"/>
          <w:sz w:val="24"/>
        </w:rPr>
        <w:t>5. 根据期刊篇幅要求压缩或扩展表格，可将完整主题词、典型人物和模型流程图放入附录。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 w:hAnsi="??"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 w:hAnsi="??" w:eastAsia="??"/>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 w:hAnsi="??" w:eastAsia="??"/>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eastAsia="??"/>
    </w:rPr>
  </w:style>
  <w:style w:type="character" w:customStyle="1" w:styleId="BodyText3Char">
    <w:name w:val="Body Text 3 Char"/>
    <w:basedOn w:val="DefaultParagraphFont"/>
    <w:link w:val="BodyText3"/>
    <w:uiPriority w:val="99"/>
    <w:rsid w:val="00AA1D8D"/>
    <w:rPr>
      <w:sz w:val="16"/>
      <w:szCs w:val="16"/>
      <w:rFonts w:eastAsia="??"/>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
      <w:sz w:val="20"/>
      <w:szCs w:val="20"/>
    </w:rPr>
  </w:style>
  <w:style w:type="character" w:customStyle="1" w:styleId="MacroTextChar">
    <w:name w:val="Macro Text Char"/>
    <w:basedOn w:val="DefaultParagraphFont"/>
    <w:link w:val="MacroText"/>
    <w:uiPriority w:val="99"/>
    <w:rsid w:val="0029639D"/>
    <w:rPr>
      <w:rFonts w:ascii="Courier" w:hAnsi="Courier" w:eastAsia="??"/>
      <w:sz w:val="20"/>
      <w:szCs w:val="20"/>
    </w:rPr>
  </w:style>
  <w:style w:type="paragraph" w:styleId="Quote">
    <w:name w:val="Quote"/>
    <w:basedOn w:val="Normal"/>
    <w:next w:val="Normal"/>
    <w:link w:val="QuoteChar"/>
    <w:uiPriority w:val="29"/>
    <w:qFormat/>
    <w:rsid w:val="00FC693F"/>
    <w:rPr>
      <w:i/>
      <w:iCs/>
      <w:color w:val="000000" w:themeColor="text1"/>
      <w:rFonts w:eastAsia="??"/>
    </w:rPr>
  </w:style>
  <w:style w:type="character" w:customStyle="1" w:styleId="QuoteChar">
    <w:name w:val="Quote Char"/>
    <w:basedOn w:val="DefaultParagraphFont"/>
    <w:link w:val="Quote"/>
    <w:uiPriority w:val="29"/>
    <w:rsid w:val="00FC693F"/>
    <w:rPr>
      <w:i/>
      <w:iCs/>
      <w:color w:val="000000" w:themeColor="text1"/>
      <w:rFonts w:eastAsi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eastAsia="??"/>
    </w:rPr>
  </w:style>
  <w:style w:type="character" w:styleId="Strong">
    <w:name w:val="Strong"/>
    <w:basedOn w:val="DefaultParagraphFont"/>
    <w:uiPriority w:val="22"/>
    <w:qFormat/>
    <w:rsid w:val="00FC693F"/>
    <w:rPr>
      <w:b/>
      <w:bCs/>
      <w:rFonts w:eastAsia="??"/>
    </w:rPr>
  </w:style>
  <w:style w:type="character" w:styleId="Emphasis">
    <w:name w:val="Emphasis"/>
    <w:basedOn w:val="DefaultParagraphFont"/>
    <w:uiPriority w:val="20"/>
    <w:qFormat/>
    <w:rsid w:val="00FC693F"/>
    <w:rPr>
      <w:i/>
      <w:iCs/>
      <w:rFonts w:eastAsi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Fonts w:eastAsia="??"/>
    </w:rPr>
  </w:style>
  <w:style w:type="character" w:customStyle="1" w:styleId="IntenseQuoteChar">
    <w:name w:val="Intense Quote Char"/>
    <w:basedOn w:val="DefaultParagraphFont"/>
    <w:link w:val="IntenseQuote"/>
    <w:uiPriority w:val="30"/>
    <w:rsid w:val="00FC693F"/>
    <w:rPr>
      <w:b/>
      <w:bCs/>
      <w:i/>
      <w:iCs/>
      <w:color w:val="4F81BD" w:themeColor="accent1"/>
      <w:rFonts w:eastAsia="??"/>
    </w:rPr>
  </w:style>
  <w:style w:type="character" w:styleId="SubtleEmphasis">
    <w:name w:val="Subtle Emphasis"/>
    <w:basedOn w:val="DefaultParagraphFont"/>
    <w:uiPriority w:val="19"/>
    <w:qFormat/>
    <w:rsid w:val="00FC693F"/>
    <w:rPr>
      <w:i/>
      <w:iCs/>
      <w:color w:val="808080" w:themeColor="text1" w:themeTint="7F"/>
      <w:rFonts w:eastAsia="??"/>
    </w:rPr>
  </w:style>
  <w:style w:type="character" w:styleId="IntenseEmphasis">
    <w:name w:val="Intense Emphasis"/>
    <w:basedOn w:val="DefaultParagraphFont"/>
    <w:uiPriority w:val="21"/>
    <w:qFormat/>
    <w:rsid w:val="00FC693F"/>
    <w:rPr>
      <w:b/>
      <w:bCs/>
      <w:i/>
      <w:iCs/>
      <w:color w:val="4F81BD" w:themeColor="accent1"/>
      <w:rFonts w:eastAsia="??"/>
    </w:rPr>
  </w:style>
  <w:style w:type="character" w:styleId="SubtleReference">
    <w:name w:val="Subtle Reference"/>
    <w:basedOn w:val="DefaultParagraphFont"/>
    <w:uiPriority w:val="31"/>
    <w:qFormat/>
    <w:rsid w:val="00FC693F"/>
    <w:rPr>
      <w:smallCaps/>
      <w:color w:val="C0504D" w:themeColor="accent2"/>
      <w:u w:val="single"/>
      <w:rFonts w:eastAsia="??"/>
    </w:rPr>
  </w:style>
  <w:style w:type="character" w:styleId="IntenseReference">
    <w:name w:val="Intense Reference"/>
    <w:basedOn w:val="DefaultParagraphFont"/>
    <w:uiPriority w:val="32"/>
    <w:qFormat/>
    <w:rsid w:val="00FC693F"/>
    <w:rPr>
      <w:b/>
      <w:bCs/>
      <w:smallCaps/>
      <w:color w:val="C0504D" w:themeColor="accent2"/>
      <w:spacing w:val="5"/>
      <w:u w:val="single"/>
      <w:rFonts w:eastAsia="??"/>
    </w:rPr>
  </w:style>
  <w:style w:type="character" w:styleId="BookTitle">
    <w:name w:val="Book Title"/>
    <w:basedOn w:val="DefaultParagraphFont"/>
    <w:uiPriority w:val="33"/>
    <w:qFormat/>
    <w:rsid w:val="00FC693F"/>
    <w:rPr>
      <w:b/>
      <w:bCs/>
      <w:smallCaps/>
      <w:spacing w:val="5"/>
      <w:rFonts w:eastAsia="??"/>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Fonts w:eastAsi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eastAsia="??"/>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Fonts w:eastAsi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eastAsia="??"/>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eastAsi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eastAsia="??"/>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eastAsi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eastAsia="??"/>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eastAsi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eastAsia="??"/>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eastAsi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eastAsia="??"/>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eastAsi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eastAsia="??"/>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eastAsia="??"/>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eastAsia="??"/>
      </w:rPr>
    </w:tblStylePr>
    <w:tblStylePr w:type="lastCol">
      <w:rPr>
        <w:b/>
        <w:bCs/>
        <w:rFonts w:eastAsia="??"/>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000000" w:themeFill="text1"/>
      </w:tcPr>
    </w:tblStylePr>
    <w:tblStylePr w:type="lastRow">
      <w:pPr>
        <w:spacing w:before="0" w:after="0" w:line="240" w:lineRule="auto"/>
      </w:pPr>
      <w:rPr>
        <w:b/>
        <w:bCs/>
        <w:rFonts w:eastAsia="??"/>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eastAsia="??"/>
      </w:rPr>
    </w:tblStylePr>
    <w:tblStylePr w:type="lastCol">
      <w:rPr>
        <w:b/>
        <w:bCs/>
        <w:rFonts w:eastAsia="??"/>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4F81BD" w:themeFill="accent1"/>
      </w:tcPr>
    </w:tblStylePr>
    <w:tblStylePr w:type="lastRow">
      <w:pPr>
        <w:spacing w:before="0" w:after="0" w:line="240" w:lineRule="auto"/>
      </w:pPr>
      <w:rPr>
        <w:b/>
        <w:bCs/>
        <w:rFonts w:eastAsia="??"/>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eastAsia="??"/>
      </w:rPr>
    </w:tblStylePr>
    <w:tblStylePr w:type="lastCol">
      <w:rPr>
        <w:b/>
        <w:bCs/>
        <w:rFonts w:eastAsia="??"/>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C0504D" w:themeFill="accent2"/>
      </w:tcPr>
    </w:tblStylePr>
    <w:tblStylePr w:type="lastRow">
      <w:pPr>
        <w:spacing w:before="0" w:after="0" w:line="240" w:lineRule="auto"/>
      </w:pPr>
      <w:rPr>
        <w:b/>
        <w:bCs/>
        <w:rFonts w:eastAsia="??"/>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eastAsia="??"/>
      </w:rPr>
    </w:tblStylePr>
    <w:tblStylePr w:type="lastCol">
      <w:rPr>
        <w:b/>
        <w:bCs/>
        <w:rFonts w:eastAsia="??"/>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9BBB59" w:themeFill="accent3"/>
      </w:tcPr>
    </w:tblStylePr>
    <w:tblStylePr w:type="lastRow">
      <w:pPr>
        <w:spacing w:before="0" w:after="0" w:line="240" w:lineRule="auto"/>
      </w:pPr>
      <w:rPr>
        <w:b/>
        <w:bCs/>
        <w:rFonts w:eastAsia="??"/>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eastAsia="??"/>
      </w:rPr>
    </w:tblStylePr>
    <w:tblStylePr w:type="lastCol">
      <w:rPr>
        <w:b/>
        <w:bCs/>
        <w:rFonts w:eastAsia="??"/>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8064A2" w:themeFill="accent4"/>
      </w:tcPr>
    </w:tblStylePr>
    <w:tblStylePr w:type="lastRow">
      <w:pPr>
        <w:spacing w:before="0" w:after="0" w:line="240" w:lineRule="auto"/>
      </w:pPr>
      <w:rPr>
        <w:b/>
        <w:bCs/>
        <w:rFonts w:eastAsia="??"/>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eastAsia="??"/>
      </w:rPr>
    </w:tblStylePr>
    <w:tblStylePr w:type="lastCol">
      <w:rPr>
        <w:b/>
        <w:bCs/>
        <w:rFonts w:eastAsia="??"/>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4BACC6" w:themeFill="accent5"/>
      </w:tcPr>
    </w:tblStylePr>
    <w:tblStylePr w:type="lastRow">
      <w:pPr>
        <w:spacing w:before="0" w:after="0" w:line="240" w:lineRule="auto"/>
      </w:pPr>
      <w:rPr>
        <w:b/>
        <w:bCs/>
        <w:rFonts w:eastAsia="??"/>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eastAsia="??"/>
      </w:rPr>
    </w:tblStylePr>
    <w:tblStylePr w:type="lastCol">
      <w:rPr>
        <w:b/>
        <w:bCs/>
        <w:rFonts w:eastAsia="??"/>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shd w:val="clear" w:color="auto" w:fill="F79646" w:themeFill="accent6"/>
      </w:tcPr>
    </w:tblStylePr>
    <w:tblStylePr w:type="lastRow">
      <w:pPr>
        <w:spacing w:before="0" w:after="0" w:line="240" w:lineRule="auto"/>
      </w:pPr>
      <w:rPr>
        <w:b/>
        <w:bCs/>
        <w:rFonts w:eastAsia="??"/>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eastAsia="??"/>
      </w:rPr>
    </w:tblStylePr>
    <w:tblStylePr w:type="lastCol">
      <w:rPr>
        <w:b/>
        <w:bCs/>
        <w:rFonts w:eastAsia="??"/>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
        <w:b/>
        <w:bCs/>
      </w:rPr>
    </w:tblStylePr>
    <w:tblStylePr w:type="lastCol">
      <w:rPr>
        <w:rFonts w:asciiTheme="majorHAnsi" w:eastAsiaTheme="majorEastAsia" w:hAnsiTheme="majorHAnsi" w:cstheme="majorBidi" w: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eastAsia="??"/>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eastAsia="??"/>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eastAsia="??"/>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eastAsia="??"/>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eastAsia="??"/>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eastAsia="??"/>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eastAsia="??"/>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eastAsia="??"/>
      </w:rPr>
    </w:tblStylePr>
    <w:tblStylePr w:type="lastCol">
      <w:rPr>
        <w:b/>
        <w:bCs/>
        <w:rFonts w:eastAsia="??"/>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eastAsia="??"/>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eastAsia="??"/>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eastAsia="??"/>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eastAsia="??"/>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eastAsia="??"/>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eastAsia="??"/>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eastAsia="??"/>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eastAsia="??"/>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eastAsia="??"/>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eastAsia="??"/>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eastAsia="??"/>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000000" w:themeColor="text1"/>
        </w:tcBorders>
      </w:tcPr>
    </w:tblStylePr>
    <w:tblStylePr w:type="lastRow">
      <w:rPr>
        <w:b/>
        <w:bCs/>
        <w:color w:val="1F497D" w:themeColor="text2"/>
        <w:rFonts w:eastAsia="??"/>
      </w:rPr>
      <w:tblPr/>
      <w:tcPr>
        <w:tcBorders>
          <w:top w:val="single" w:sz="8" w:space="0" w:color="000000" w:themeColor="text1"/>
          <w:bottom w:val="single" w:sz="8" w:space="0" w:color="000000" w:themeColor="text1"/>
        </w:tcBorders>
      </w:tcPr>
    </w:tblStylePr>
    <w:tblStylePr w:type="firstCol">
      <w:rPr>
        <w:b/>
        <w:bCs/>
        <w:rFonts w:eastAsia="??"/>
      </w:rPr>
    </w:tblStylePr>
    <w:tblStylePr w:type="lastCol">
      <w:rPr>
        <w:b/>
        <w:bCs/>
        <w:rFonts w:eastAsia="??"/>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4F81BD" w:themeColor="accent1"/>
        </w:tcBorders>
      </w:tcPr>
    </w:tblStylePr>
    <w:tblStylePr w:type="lastRow">
      <w:rPr>
        <w:b/>
        <w:bCs/>
        <w:color w:val="1F497D" w:themeColor="text2"/>
        <w:rFonts w:eastAsia="??"/>
      </w:rPr>
      <w:tblPr/>
      <w:tcPr>
        <w:tcBorders>
          <w:top w:val="single" w:sz="8" w:space="0" w:color="4F81BD" w:themeColor="accent1"/>
          <w:bottom w:val="single" w:sz="8" w:space="0" w:color="4F81BD" w:themeColor="accent1"/>
        </w:tcBorders>
      </w:tcPr>
    </w:tblStylePr>
    <w:tblStylePr w:type="firstCol">
      <w:rPr>
        <w:b/>
        <w:bCs/>
        <w:rFonts w:eastAsia="??"/>
      </w:rPr>
    </w:tblStylePr>
    <w:tblStylePr w:type="lastCol">
      <w:rPr>
        <w:b/>
        <w:bCs/>
        <w:rFonts w:eastAsia="??"/>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C0504D" w:themeColor="accent2"/>
        </w:tcBorders>
      </w:tcPr>
    </w:tblStylePr>
    <w:tblStylePr w:type="lastRow">
      <w:rPr>
        <w:b/>
        <w:bCs/>
        <w:color w:val="1F497D" w:themeColor="text2"/>
        <w:rFonts w:eastAsia="??"/>
      </w:rPr>
      <w:tblPr/>
      <w:tcPr>
        <w:tcBorders>
          <w:top w:val="single" w:sz="8" w:space="0" w:color="C0504D" w:themeColor="accent2"/>
          <w:bottom w:val="single" w:sz="8" w:space="0" w:color="C0504D" w:themeColor="accent2"/>
        </w:tcBorders>
      </w:tcPr>
    </w:tblStylePr>
    <w:tblStylePr w:type="firstCol">
      <w:rPr>
        <w:b/>
        <w:bCs/>
        <w:rFonts w:eastAsia="??"/>
      </w:rPr>
    </w:tblStylePr>
    <w:tblStylePr w:type="lastCol">
      <w:rPr>
        <w:b/>
        <w:bCs/>
        <w:rFonts w:eastAsia="??"/>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9BBB59" w:themeColor="accent3"/>
        </w:tcBorders>
      </w:tcPr>
    </w:tblStylePr>
    <w:tblStylePr w:type="lastRow">
      <w:rPr>
        <w:b/>
        <w:bCs/>
        <w:color w:val="1F497D" w:themeColor="text2"/>
        <w:rFonts w:eastAsia="??"/>
      </w:rPr>
      <w:tblPr/>
      <w:tcPr>
        <w:tcBorders>
          <w:top w:val="single" w:sz="8" w:space="0" w:color="9BBB59" w:themeColor="accent3"/>
          <w:bottom w:val="single" w:sz="8" w:space="0" w:color="9BBB59" w:themeColor="accent3"/>
        </w:tcBorders>
      </w:tcPr>
    </w:tblStylePr>
    <w:tblStylePr w:type="firstCol">
      <w:rPr>
        <w:b/>
        <w:bCs/>
        <w:rFonts w:eastAsia="??"/>
      </w:rPr>
    </w:tblStylePr>
    <w:tblStylePr w:type="lastCol">
      <w:rPr>
        <w:b/>
        <w:bCs/>
        <w:rFonts w:eastAsia="??"/>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8064A2" w:themeColor="accent4"/>
        </w:tcBorders>
      </w:tcPr>
    </w:tblStylePr>
    <w:tblStylePr w:type="lastRow">
      <w:rPr>
        <w:b/>
        <w:bCs/>
        <w:color w:val="1F497D" w:themeColor="text2"/>
        <w:rFonts w:eastAsia="??"/>
      </w:rPr>
      <w:tblPr/>
      <w:tcPr>
        <w:tcBorders>
          <w:top w:val="single" w:sz="8" w:space="0" w:color="8064A2" w:themeColor="accent4"/>
          <w:bottom w:val="single" w:sz="8" w:space="0" w:color="8064A2" w:themeColor="accent4"/>
        </w:tcBorders>
      </w:tcPr>
    </w:tblStylePr>
    <w:tblStylePr w:type="firstCol">
      <w:rPr>
        <w:b/>
        <w:bCs/>
        <w:rFonts w:eastAsia="??"/>
      </w:rPr>
    </w:tblStylePr>
    <w:tblStylePr w:type="lastCol">
      <w:rPr>
        <w:b/>
        <w:bCs/>
        <w:rFonts w:eastAsia="??"/>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4BACC6" w:themeColor="accent5"/>
        </w:tcBorders>
      </w:tcPr>
    </w:tblStylePr>
    <w:tblStylePr w:type="lastRow">
      <w:rPr>
        <w:b/>
        <w:bCs/>
        <w:color w:val="1F497D" w:themeColor="text2"/>
        <w:rFonts w:eastAsia="??"/>
      </w:rPr>
      <w:tblPr/>
      <w:tcPr>
        <w:tcBorders>
          <w:top w:val="single" w:sz="8" w:space="0" w:color="4BACC6" w:themeColor="accent5"/>
          <w:bottom w:val="single" w:sz="8" w:space="0" w:color="4BACC6" w:themeColor="accent5"/>
        </w:tcBorders>
      </w:tcPr>
    </w:tblStylePr>
    <w:tblStylePr w:type="firstCol">
      <w:rPr>
        <w:b/>
        <w:bCs/>
        <w:rFonts w:eastAsia="??"/>
      </w:rPr>
    </w:tblStylePr>
    <w:tblStylePr w:type="lastCol">
      <w:rPr>
        <w:b/>
        <w:bCs/>
        <w:rFonts w:eastAsia="??"/>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eastAsi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
      </w:rPr>
      <w:tblPr/>
      <w:tcPr>
        <w:tcBorders>
          <w:top w:val="nil"/>
          <w:bottom w:val="single" w:sz="8" w:space="0" w:color="F79646" w:themeColor="accent6"/>
        </w:tcBorders>
      </w:tcPr>
    </w:tblStylePr>
    <w:tblStylePr w:type="lastRow">
      <w:rPr>
        <w:b/>
        <w:bCs/>
        <w:color w:val="1F497D" w:themeColor="text2"/>
        <w:rFonts w:eastAsia="??"/>
      </w:rPr>
      <w:tblPr/>
      <w:tcPr>
        <w:tcBorders>
          <w:top w:val="single" w:sz="8" w:space="0" w:color="F79646" w:themeColor="accent6"/>
          <w:bottom w:val="single" w:sz="8" w:space="0" w:color="F79646" w:themeColor="accent6"/>
        </w:tcBorders>
      </w:tcPr>
    </w:tblStylePr>
    <w:tblStylePr w:type="firstCol">
      <w:rPr>
        <w:b/>
        <w:bCs/>
        <w:rFonts w:eastAsia="??"/>
      </w:rPr>
    </w:tblStylePr>
    <w:tblStylePr w:type="lastCol">
      <w:rPr>
        <w:b/>
        <w:bCs/>
        <w:rFonts w:eastAsia="??"/>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eastAsia="??"/>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eastAsia="??"/>
      </w:rPr>
    </w:tblStylePr>
    <w:tblStylePr w:type="lastRow">
      <w:rPr>
        <w:b/>
        <w:bCs/>
        <w:rFonts w:eastAsia="??"/>
      </w:rPr>
      <w:tblPr/>
      <w:tcPr>
        <w:tcBorders>
          <w:top w:val="single" w:sz="18" w:space="0" w:color="404040" w:themeColor="text1" w:themeTint="BF"/>
        </w:tcBorders>
      </w:tcPr>
    </w:tblStylePr>
    <w:tblStylePr w:type="firstCol">
      <w:rPr>
        <w:b/>
        <w:bCs/>
        <w:rFonts w:eastAsia="??"/>
      </w:rPr>
    </w:tblStylePr>
    <w:tblStylePr w:type="lastCol">
      <w:rPr>
        <w:b/>
        <w:bCs/>
        <w:rFonts w:eastAsia="??"/>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eastAsia="??"/>
      </w:rPr>
    </w:tblStylePr>
    <w:tblStylePr w:type="lastRow">
      <w:rPr>
        <w:b/>
        <w:bCs/>
        <w:rFonts w:eastAsia="??"/>
      </w:rPr>
      <w:tblPr/>
      <w:tcPr>
        <w:tcBorders>
          <w:top w:val="single" w:sz="18" w:space="0" w:color="7BA0CD" w:themeColor="accent1" w:themeTint="BF"/>
        </w:tcBorders>
      </w:tcPr>
    </w:tblStylePr>
    <w:tblStylePr w:type="firstCol">
      <w:rPr>
        <w:b/>
        <w:bCs/>
        <w:rFonts w:eastAsia="??"/>
      </w:rPr>
    </w:tblStylePr>
    <w:tblStylePr w:type="lastCol">
      <w:rPr>
        <w:b/>
        <w:bCs/>
        <w:rFonts w:eastAsia="??"/>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eastAsia="??"/>
      </w:rPr>
    </w:tblStylePr>
    <w:tblStylePr w:type="lastRow">
      <w:rPr>
        <w:b/>
        <w:bCs/>
        <w:rFonts w:eastAsia="??"/>
      </w:rPr>
      <w:tblPr/>
      <w:tcPr>
        <w:tcBorders>
          <w:top w:val="single" w:sz="18" w:space="0" w:color="CF7B79" w:themeColor="accent2" w:themeTint="BF"/>
        </w:tcBorders>
      </w:tcPr>
    </w:tblStylePr>
    <w:tblStylePr w:type="firstCol">
      <w:rPr>
        <w:b/>
        <w:bCs/>
        <w:rFonts w:eastAsia="??"/>
      </w:rPr>
    </w:tblStylePr>
    <w:tblStylePr w:type="lastCol">
      <w:rPr>
        <w:b/>
        <w:bCs/>
        <w:rFonts w:eastAsia="??"/>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eastAsia="??"/>
      </w:rPr>
    </w:tblStylePr>
    <w:tblStylePr w:type="lastRow">
      <w:rPr>
        <w:b/>
        <w:bCs/>
        <w:rFonts w:eastAsia="??"/>
      </w:rPr>
      <w:tblPr/>
      <w:tcPr>
        <w:tcBorders>
          <w:top w:val="single" w:sz="18" w:space="0" w:color="B3CC82" w:themeColor="accent3" w:themeTint="BF"/>
        </w:tcBorders>
      </w:tcPr>
    </w:tblStylePr>
    <w:tblStylePr w:type="firstCol">
      <w:rPr>
        <w:b/>
        <w:bCs/>
        <w:rFonts w:eastAsia="??"/>
      </w:rPr>
    </w:tblStylePr>
    <w:tblStylePr w:type="lastCol">
      <w:rPr>
        <w:b/>
        <w:bCs/>
        <w:rFonts w:eastAsia="??"/>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eastAsia="??"/>
      </w:rPr>
    </w:tblStylePr>
    <w:tblStylePr w:type="lastRow">
      <w:rPr>
        <w:b/>
        <w:bCs/>
        <w:rFonts w:eastAsia="??"/>
      </w:rPr>
      <w:tblPr/>
      <w:tcPr>
        <w:tcBorders>
          <w:top w:val="single" w:sz="18" w:space="0" w:color="9F8AB9" w:themeColor="accent4" w:themeTint="BF"/>
        </w:tcBorders>
      </w:tcPr>
    </w:tblStylePr>
    <w:tblStylePr w:type="firstCol">
      <w:rPr>
        <w:b/>
        <w:bCs/>
        <w:rFonts w:eastAsia="??"/>
      </w:rPr>
    </w:tblStylePr>
    <w:tblStylePr w:type="lastCol">
      <w:rPr>
        <w:b/>
        <w:bCs/>
        <w:rFonts w:eastAsia="??"/>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eastAsia="??"/>
      </w:rPr>
    </w:tblStylePr>
    <w:tblStylePr w:type="lastRow">
      <w:rPr>
        <w:b/>
        <w:bCs/>
        <w:rFonts w:eastAsia="??"/>
      </w:rPr>
      <w:tblPr/>
      <w:tcPr>
        <w:tcBorders>
          <w:top w:val="single" w:sz="18" w:space="0" w:color="78C0D4" w:themeColor="accent5" w:themeTint="BF"/>
        </w:tcBorders>
      </w:tcPr>
    </w:tblStylePr>
    <w:tblStylePr w:type="firstCol">
      <w:rPr>
        <w:b/>
        <w:bCs/>
        <w:rFonts w:eastAsia="??"/>
      </w:rPr>
    </w:tblStylePr>
    <w:tblStylePr w:type="lastCol">
      <w:rPr>
        <w:b/>
        <w:bCs/>
        <w:rFonts w:eastAsia="??"/>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eastAsia="??"/>
      </w:rPr>
    </w:tblStylePr>
    <w:tblStylePr w:type="lastRow">
      <w:rPr>
        <w:b/>
        <w:bCs/>
        <w:rFonts w:eastAsia="??"/>
      </w:rPr>
      <w:tblPr/>
      <w:tcPr>
        <w:tcBorders>
          <w:top w:val="single" w:sz="18" w:space="0" w:color="F9B074" w:themeColor="accent6" w:themeTint="BF"/>
        </w:tcBorders>
      </w:tcPr>
    </w:tblStylePr>
    <w:tblStylePr w:type="firstCol">
      <w:rPr>
        <w:b/>
        <w:bCs/>
        <w:rFonts w:eastAsia="??"/>
      </w:rPr>
    </w:tblStylePr>
    <w:tblStylePr w:type="lastCol">
      <w:rPr>
        <w:b/>
        <w:bCs/>
        <w:rFonts w:eastAsia="??"/>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eastAsia="??"/>
      </w:rPr>
      <w:tblPr/>
      <w:tcPr>
        <w:shd w:val="clear" w:color="auto" w:fill="E6E6E6" w:themeFill="text1"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eastAsia="??"/>
      </w:rPr>
      <w:tblPr/>
      <w:tcPr>
        <w:shd w:val="clear" w:color="auto" w:fill="EDF2F8" w:themeFill="accent1"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eastAsia="??"/>
      </w:rPr>
      <w:tblPr/>
      <w:tcPr>
        <w:shd w:val="clear" w:color="auto" w:fill="F8EDED" w:themeFill="accent2"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eastAsia="??"/>
      </w:rPr>
      <w:tblPr/>
      <w:tcPr>
        <w:shd w:val="clear" w:color="auto" w:fill="F5F8EE" w:themeFill="accent3"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eastAsia="??"/>
      </w:rPr>
      <w:tblPr/>
      <w:tcPr>
        <w:shd w:val="clear" w:color="auto" w:fill="F2EFF6" w:themeFill="accent4"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eastAsia="??"/>
      </w:rPr>
      <w:tblPr/>
      <w:tcPr>
        <w:shd w:val="clear" w:color="auto" w:fill="EDF6F9" w:themeFill="accent5"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eastAsia="??"/>
      </w:rPr>
      <w:tblPr/>
      <w:tcPr>
        <w:shd w:val="clear" w:color="auto" w:fill="FEF4EC" w:themeFill="accent6" w:themeFillTint="19"/>
      </w:tcPr>
    </w:tblStylePr>
    <w:tblStylePr w:type="lastRow">
      <w:rPr>
        <w:b/>
        <w:bCs/>
        <w:color w:val="000000" w:themeColor="text1"/>
        <w:rFonts w:eastAsia="??"/>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eastAsia="??"/>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eastAsia="??"/>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eastAsia="??"/>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eastAsia="??"/>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eastAsia="??"/>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eastAsia="??"/>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eastAsia="??"/>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eastAsia="??"/>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eastAsia="??"/>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000000" w:themeFill="text1" w:themeFillShade="99"/>
      </w:tcPr>
    </w:tblStylePr>
    <w:tblStylePr w:type="firstCol">
      <w:rPr>
        <w:color w:val="FFFFFF" w:themeColor="background1"/>
        <w:rFonts w:eastAsia="??"/>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eastAsia="??"/>
      </w:rPr>
    </w:tblStylePr>
    <w:tblStylePr w:type="nwCell">
      <w:rPr>
        <w:color w:val="000000" w:themeColor="text1"/>
        <w:rFonts w:eastAsia="??"/>
      </w:rPr>
    </w:tblStylePr>
  </w:style>
  <w:style w:type="table" w:styleId="ColorfulShading-Accent1">
    <w:name w:val="Colorful Shading Accent 1"/>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eastAsia="??"/>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2C4C74" w:themeFill="accent1" w:themeFillShade="99"/>
      </w:tcPr>
    </w:tblStylePr>
    <w:tblStylePr w:type="firstCol">
      <w:rPr>
        <w:color w:val="FFFFFF" w:themeColor="background1"/>
        <w:rFonts w:eastAsia="??"/>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eastAsia="??"/>
      </w:rPr>
    </w:tblStylePr>
    <w:tblStylePr w:type="nwCell">
      <w:rPr>
        <w:color w:val="000000" w:themeColor="text1"/>
        <w:rFonts w:eastAsia="??"/>
      </w:rPr>
    </w:tblStylePr>
  </w:style>
  <w:style w:type="table" w:styleId="ColorfulShading-Accent2">
    <w:name w:val="Colorful Shading Accent 2"/>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eastAsia="??"/>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772C2A" w:themeFill="accent2" w:themeFillShade="99"/>
      </w:tcPr>
    </w:tblStylePr>
    <w:tblStylePr w:type="firstCol">
      <w:rPr>
        <w:color w:val="FFFFFF" w:themeColor="background1"/>
        <w:rFonts w:eastAsia="??"/>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eastAsia="??"/>
      </w:rPr>
    </w:tblStylePr>
    <w:tblStylePr w:type="nwCell">
      <w:rPr>
        <w:color w:val="000000" w:themeColor="text1"/>
        <w:rFonts w:eastAsia="??"/>
      </w:rPr>
    </w:tblStylePr>
  </w:style>
  <w:style w:type="table" w:styleId="ColorfulShading-Accent3">
    <w:name w:val="Colorful Shading Accent 3"/>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eastAsia="??"/>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5E7530" w:themeFill="accent3" w:themeFillShade="99"/>
      </w:tcPr>
    </w:tblStylePr>
    <w:tblStylePr w:type="firstCol">
      <w:rPr>
        <w:color w:val="FFFFFF" w:themeColor="background1"/>
        <w:rFonts w:eastAsia="??"/>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eastAsia="??"/>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4C3B62" w:themeFill="accent4" w:themeFillShade="99"/>
      </w:tcPr>
    </w:tblStylePr>
    <w:tblStylePr w:type="firstCol">
      <w:rPr>
        <w:color w:val="FFFFFF" w:themeColor="background1"/>
        <w:rFonts w:eastAsia="??"/>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eastAsia="??"/>
      </w:rPr>
    </w:tblStylePr>
    <w:tblStylePr w:type="nwCell">
      <w:rPr>
        <w:color w:val="000000" w:themeColor="text1"/>
        <w:rFonts w:eastAsia="??"/>
      </w:rPr>
    </w:tblStylePr>
  </w:style>
  <w:style w:type="table" w:styleId="ColorfulShading-Accent5">
    <w:name w:val="Colorful Shading Accent 5"/>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eastAsia="??"/>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276A7C" w:themeFill="accent5" w:themeFillShade="99"/>
      </w:tcPr>
    </w:tblStylePr>
    <w:tblStylePr w:type="firstCol">
      <w:rPr>
        <w:color w:val="FFFFFF" w:themeColor="background1"/>
        <w:rFonts w:eastAsia="??"/>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eastAsia="??"/>
      </w:rPr>
    </w:tblStylePr>
    <w:tblStylePr w:type="nwCell">
      <w:rPr>
        <w:color w:val="000000" w:themeColor="text1"/>
        <w:rFonts w:eastAsia="??"/>
      </w:rPr>
    </w:tblStylePr>
  </w:style>
  <w:style w:type="table" w:styleId="ColorfulShading-Accent6">
    <w:name w:val="Colorful Shading Accent 6"/>
    <w:basedOn w:val="TableNormal"/>
    <w:uiPriority w:val="71"/>
    <w:rsid w:val="00CB0664"/>
    <w:pPr>
      <w:spacing w:after="0" w:line="240" w:lineRule="auto"/>
    </w:pPr>
    <w:rPr>
      <w:color w:val="000000" w:themeColor="text1"/>
      <w:rFonts w:eastAsia="??"/>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eastAsia="??"/>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eastAsia="??"/>
      </w:rPr>
      <w:tblPr/>
      <w:tcPr>
        <w:tcBorders>
          <w:top w:val="single" w:sz="6" w:space="0" w:color="FFFFFF" w:themeColor="background1"/>
        </w:tcBorders>
        <w:shd w:val="clear" w:color="auto" w:fill="B65608" w:themeFill="accent6" w:themeFillShade="99"/>
      </w:tcPr>
    </w:tblStylePr>
    <w:tblStylePr w:type="firstCol">
      <w:rPr>
        <w:color w:val="FFFFFF" w:themeColor="background1"/>
        <w:rFonts w:eastAsia="??"/>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eastAsia="??"/>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eastAsia="??"/>
      </w:rPr>
    </w:tblStylePr>
    <w:tblStylePr w:type="nwCell">
      <w:rPr>
        <w:color w:val="000000" w:themeColor="text1"/>
        <w:rFonts w:eastAsia="??"/>
      </w:rPr>
    </w:tblStylePr>
  </w:style>
  <w:style w:type="table" w:styleId="ColorfulList">
    <w:name w:val="Colorful List"/>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eastAsia="??"/>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eastAsia="??"/>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eastAsia="??"/>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eastAsia="??"/>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eastAsia="??"/>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eastAsia="??"/>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Fonts w:eastAsia="??"/>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eastAsia="??"/>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eastAsia="??"/>
      </w:rPr>
      <w:tblPr/>
      <w:tcPr>
        <w:tcBorders>
          <w:top w:val="single" w:sz="12" w:space="0" w:color="000000" w:themeColor="text1"/>
        </w:tcBorders>
        <w:shd w:val="clear" w:color="auto" w:fill="FFFFFF" w:themeFill="background1"/>
      </w:tcPr>
    </w:tblStylePr>
    <w:tblStylePr w:type="firstCol">
      <w:rPr>
        <w:b/>
        <w:bCs/>
        <w:rFonts w:eastAsia="??"/>
      </w:rPr>
    </w:tblStylePr>
    <w:tblStylePr w:type="lastCol">
      <w:rPr>
        <w:b/>
        <w:bCs/>
        <w:rFonts w:eastAsia="??"/>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eastAsia="??"/>
      </w:rPr>
      <w:tblPr/>
      <w:tcPr>
        <w:shd w:val="clear" w:color="auto" w:fill="999999" w:themeFill="text1" w:themeFillTint="66"/>
      </w:tcPr>
    </w:tblStylePr>
    <w:tblStylePr w:type="lastRow">
      <w:rPr>
        <w:b/>
        <w:bCs/>
        <w:color w:val="000000" w:themeColor="text1"/>
        <w:rFonts w:eastAsia="??"/>
      </w:rPr>
      <w:tblPr/>
      <w:tcPr>
        <w:shd w:val="clear" w:color="auto" w:fill="999999" w:themeFill="text1" w:themeFillTint="66"/>
      </w:tcPr>
    </w:tblStylePr>
    <w:tblStylePr w:type="firstCol">
      <w:rPr>
        <w:color w:val="FFFFFF" w:themeColor="background1"/>
        <w:rFonts w:eastAsia="??"/>
      </w:rPr>
      <w:tblPr/>
      <w:tcPr>
        <w:shd w:val="clear" w:color="auto" w:fill="000000" w:themeFill="text1" w:themeFillShade="BF"/>
      </w:tcPr>
    </w:tblStylePr>
    <w:tblStylePr w:type="lastCol">
      <w:rPr>
        <w:color w:val="FFFFFF" w:themeColor="background1"/>
        <w:rFonts w:eastAsia="??"/>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eastAsia="??"/>
      </w:rPr>
      <w:tblPr/>
      <w:tcPr>
        <w:shd w:val="clear" w:color="auto" w:fill="B8CCE4" w:themeFill="accent1" w:themeFillTint="66"/>
      </w:tcPr>
    </w:tblStylePr>
    <w:tblStylePr w:type="lastRow">
      <w:rPr>
        <w:b/>
        <w:bCs/>
        <w:color w:val="000000" w:themeColor="text1"/>
        <w:rFonts w:eastAsia="??"/>
      </w:rPr>
      <w:tblPr/>
      <w:tcPr>
        <w:shd w:val="clear" w:color="auto" w:fill="B8CCE4" w:themeFill="accent1" w:themeFillTint="66"/>
      </w:tcPr>
    </w:tblStylePr>
    <w:tblStylePr w:type="firstCol">
      <w:rPr>
        <w:color w:val="FFFFFF" w:themeColor="background1"/>
        <w:rFonts w:eastAsia="??"/>
      </w:rPr>
      <w:tblPr/>
      <w:tcPr>
        <w:shd w:val="clear" w:color="auto" w:fill="365F91" w:themeFill="accent1" w:themeFillShade="BF"/>
      </w:tcPr>
    </w:tblStylePr>
    <w:tblStylePr w:type="lastCol">
      <w:rPr>
        <w:color w:val="FFFFFF" w:themeColor="background1"/>
        <w:rFonts w:eastAsia="??"/>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eastAsia="??"/>
      </w:rPr>
      <w:tblPr/>
      <w:tcPr>
        <w:shd w:val="clear" w:color="auto" w:fill="E5B8B7" w:themeFill="accent2" w:themeFillTint="66"/>
      </w:tcPr>
    </w:tblStylePr>
    <w:tblStylePr w:type="lastRow">
      <w:rPr>
        <w:b/>
        <w:bCs/>
        <w:color w:val="000000" w:themeColor="text1"/>
        <w:rFonts w:eastAsia="??"/>
      </w:rPr>
      <w:tblPr/>
      <w:tcPr>
        <w:shd w:val="clear" w:color="auto" w:fill="E5B8B7" w:themeFill="accent2" w:themeFillTint="66"/>
      </w:tcPr>
    </w:tblStylePr>
    <w:tblStylePr w:type="firstCol">
      <w:rPr>
        <w:color w:val="FFFFFF" w:themeColor="background1"/>
        <w:rFonts w:eastAsia="??"/>
      </w:rPr>
      <w:tblPr/>
      <w:tcPr>
        <w:shd w:val="clear" w:color="auto" w:fill="943634" w:themeFill="accent2" w:themeFillShade="BF"/>
      </w:tcPr>
    </w:tblStylePr>
    <w:tblStylePr w:type="lastCol">
      <w:rPr>
        <w:color w:val="FFFFFF" w:themeColor="background1"/>
        <w:rFonts w:eastAsia="??"/>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eastAsia="??"/>
      </w:rPr>
      <w:tblPr/>
      <w:tcPr>
        <w:shd w:val="clear" w:color="auto" w:fill="D6E3BC" w:themeFill="accent3" w:themeFillTint="66"/>
      </w:tcPr>
    </w:tblStylePr>
    <w:tblStylePr w:type="lastRow">
      <w:rPr>
        <w:b/>
        <w:bCs/>
        <w:color w:val="000000" w:themeColor="text1"/>
        <w:rFonts w:eastAsia="??"/>
      </w:rPr>
      <w:tblPr/>
      <w:tcPr>
        <w:shd w:val="clear" w:color="auto" w:fill="D6E3BC" w:themeFill="accent3" w:themeFillTint="66"/>
      </w:tcPr>
    </w:tblStylePr>
    <w:tblStylePr w:type="firstCol">
      <w:rPr>
        <w:color w:val="FFFFFF" w:themeColor="background1"/>
        <w:rFonts w:eastAsia="??"/>
      </w:rPr>
      <w:tblPr/>
      <w:tcPr>
        <w:shd w:val="clear" w:color="auto" w:fill="76923C" w:themeFill="accent3" w:themeFillShade="BF"/>
      </w:tcPr>
    </w:tblStylePr>
    <w:tblStylePr w:type="lastCol">
      <w:rPr>
        <w:color w:val="FFFFFF" w:themeColor="background1"/>
        <w:rFonts w:eastAsia="??"/>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eastAsia="??"/>
      </w:rPr>
      <w:tblPr/>
      <w:tcPr>
        <w:shd w:val="clear" w:color="auto" w:fill="CCC0D9" w:themeFill="accent4" w:themeFillTint="66"/>
      </w:tcPr>
    </w:tblStylePr>
    <w:tblStylePr w:type="lastRow">
      <w:rPr>
        <w:b/>
        <w:bCs/>
        <w:color w:val="000000" w:themeColor="text1"/>
        <w:rFonts w:eastAsia="??"/>
      </w:rPr>
      <w:tblPr/>
      <w:tcPr>
        <w:shd w:val="clear" w:color="auto" w:fill="CCC0D9" w:themeFill="accent4" w:themeFillTint="66"/>
      </w:tcPr>
    </w:tblStylePr>
    <w:tblStylePr w:type="firstCol">
      <w:rPr>
        <w:color w:val="FFFFFF" w:themeColor="background1"/>
        <w:rFonts w:eastAsia="??"/>
      </w:rPr>
      <w:tblPr/>
      <w:tcPr>
        <w:shd w:val="clear" w:color="auto" w:fill="5F497A" w:themeFill="accent4" w:themeFillShade="BF"/>
      </w:tcPr>
    </w:tblStylePr>
    <w:tblStylePr w:type="lastCol">
      <w:rPr>
        <w:color w:val="FFFFFF" w:themeColor="background1"/>
        <w:rFonts w:eastAsia="??"/>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eastAsia="??"/>
      </w:rPr>
      <w:tblPr/>
      <w:tcPr>
        <w:shd w:val="clear" w:color="auto" w:fill="B6DDE8" w:themeFill="accent5" w:themeFillTint="66"/>
      </w:tcPr>
    </w:tblStylePr>
    <w:tblStylePr w:type="lastRow">
      <w:rPr>
        <w:b/>
        <w:bCs/>
        <w:color w:val="000000" w:themeColor="text1"/>
        <w:rFonts w:eastAsia="??"/>
      </w:rPr>
      <w:tblPr/>
      <w:tcPr>
        <w:shd w:val="clear" w:color="auto" w:fill="B6DDE8" w:themeFill="accent5" w:themeFillTint="66"/>
      </w:tcPr>
    </w:tblStylePr>
    <w:tblStylePr w:type="firstCol">
      <w:rPr>
        <w:color w:val="FFFFFF" w:themeColor="background1"/>
        <w:rFonts w:eastAsia="??"/>
      </w:rPr>
      <w:tblPr/>
      <w:tcPr>
        <w:shd w:val="clear" w:color="auto" w:fill="31849B" w:themeFill="accent5" w:themeFillShade="BF"/>
      </w:tcPr>
    </w:tblStylePr>
    <w:tblStylePr w:type="lastCol">
      <w:rPr>
        <w:color w:val="FFFFFF" w:themeColor="background1"/>
        <w:rFonts w:eastAsia="??"/>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Fonts w:eastAsi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eastAsia="??"/>
      </w:rPr>
      <w:tblPr/>
      <w:tcPr>
        <w:shd w:val="clear" w:color="auto" w:fill="FBD4B4" w:themeFill="accent6" w:themeFillTint="66"/>
      </w:tcPr>
    </w:tblStylePr>
    <w:tblStylePr w:type="lastRow">
      <w:rPr>
        <w:b/>
        <w:bCs/>
        <w:color w:val="000000" w:themeColor="text1"/>
        <w:rFonts w:eastAsia="??"/>
      </w:rPr>
      <w:tblPr/>
      <w:tcPr>
        <w:shd w:val="clear" w:color="auto" w:fill="FBD4B4" w:themeFill="accent6" w:themeFillTint="66"/>
      </w:tcPr>
    </w:tblStylePr>
    <w:tblStylePr w:type="firstCol">
      <w:rPr>
        <w:color w:val="FFFFFF" w:themeColor="background1"/>
        <w:rFonts w:eastAsia="??"/>
      </w:rPr>
      <w:tblPr/>
      <w:tcPr>
        <w:shd w:val="clear" w:color="auto" w:fill="E36C0A" w:themeFill="accent6" w:themeFillShade="BF"/>
      </w:tcPr>
    </w:tblStylePr>
    <w:tblStylePr w:type="lastCol">
      <w:rPr>
        <w:color w:val="FFFFFF" w:themeColor="background1"/>
        <w:rFonts w:eastAsia="??"/>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