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pPr>
      <w:r>
        <w:rPr>
          <w:b/>
          <w:bCs/>
          <w:color w:val="2B3014"/>
          <w:sz w:val="36"/>
          <w:szCs w:val="36"/>
        </w:rPr>
        <w:t xml:space="preserve">Manual de vinculación: cuestionario y Excel de proyección</w:t>
      </w:r>
    </w:p>
    <w:p>
      <w:pPr>
        <w:spacing w:after="120" w:line="300"/>
      </w:pPr>
      <w:r>
        <w:rPr>
          <w:color w:val="5A5E44"/>
        </w:rPr>
        <w:t xml:space="preserve">Chotocruz &amp; Co. · documento interno · versión 1.23 · octubre de 2026</w:t>
      </w:r>
    </w:p>
    <w:p>
      <w:pPr>
        <w:spacing w:after="120" w:line="300"/>
      </w:pPr>
      <w:r>
        <w:t xml:space="preserve">Este manual indica, pregunta por pregunta, en qué celda y en qué columna del Excel de proyección entra cada respuesta, cómo se calcula y qué preguntas no intervienen en la proyección. Las celdas son de la hoja «Proyección», salvo que se indique otra hoja. Los años de la proyección empiezan en la fila 25. Los montos se registran en las hojas «Ingresos», «Gastos», «Inversiones» y «Desinversiones», una fila por elemento: monto declarado (D), moneda (E), tipo de cambio aplicado (F) y monto en US$ (G = D / F). La hoja «Proyección» los enlaza. «Sección» indica la sección de esas hojas.</w:t>
      </w:r>
    </w:p>
    <w:p>
      <w:pPr>
        <w:pStyle w:val="Heading1"/>
      </w:pPr>
      <w:r>
        <w:t xml:space="preserve">1. Cómo está organizada la hoja «Proyección»</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9558"/>
      </w:tblGrid>
      <w:tr>
        <w:trPr>
          <w:tblHeader/>
        </w:trPr>
        <w:tc>
          <w:tcPr>
            <w:tcW w:type="dxa" w:w="24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8"/>
                <w:szCs w:val="18"/>
              </w:rPr>
              <w:t xml:space="preserve">Zona</w:t>
            </w:r>
          </w:p>
        </w:tc>
        <w:tc>
          <w:tcPr>
            <w:tcW w:type="dxa" w:w="20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8"/>
                <w:szCs w:val="18"/>
              </w:rPr>
              <w:t xml:space="preserve">Celdas</w:t>
            </w:r>
          </w:p>
        </w:tc>
        <w:tc>
          <w:tcPr>
            <w:tcW w:type="dxa" w:w="9558"/>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8"/>
                <w:szCs w:val="18"/>
              </w:rPr>
              <w:t xml:space="preserve">Contenido</w:t>
            </w:r>
          </w:p>
        </w:tc>
      </w:tr>
      <w:tr>
        <w:tc>
          <w:tcPr>
            <w:tcW w:type="dxa" w:w="24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Título</w:t>
            </w:r>
          </w:p>
        </w:tc>
        <w:tc>
          <w:tcPr>
            <w:tcW w:type="dxa" w:w="2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Filas 1 y 2</w:t>
            </w:r>
          </w:p>
        </w:tc>
        <w:tc>
          <w:tcPr>
            <w:tcW w:type="dxa" w:w="95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Nombre del cliente y nota. Las celdas en color crema son insumos: si se cambian, toda la proyección se recalcula</w:t>
            </w:r>
          </w:p>
        </w:tc>
      </w:tr>
      <w:tr>
        <w:tc>
          <w:tcPr>
            <w:tcW w:type="dxa" w:w="24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Supuestos</w:t>
            </w:r>
          </w:p>
        </w:tc>
        <w:tc>
          <w:tcPr>
            <w:tcW w:type="dxa" w:w="2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B4:G24</w:t>
            </w:r>
          </w:p>
        </w:tc>
        <w:tc>
          <w:tcPr>
            <w:tcW w:type="dxa" w:w="95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Columna F: el valor que usa la proyección (insumo editable); columna G: su origen (Asesor, Perfil de riesgo, Cuestionario o No aplica). Mercado, perfil y firma: F7 tipo de cambio · F8 inflación local (Costa Rica) · F9 inflación internacional (EE. UU.) · F10 inflación de la pensión del IVM · F11 inflación del ROP (aportes al ROP y al FCL) · F12 inflación de la pensión voluntaria · F13 rendimiento esperado del portafolio (perfil de riesgo) · F14 rendimiento de los fondos de pensión · F15 aporte al ROP y F16 aporte al FCL (% del salario, cuando se estiman). Datos del cliente: F18 gasto en el retiro (% del gasto actual) · F19 años hasta la independencia · F20 edad de inicio de la pensión · F21 mes de nacimiento · F22 parte del gasto familiar pagada en dólares y F23 parte en colones (100% − F22) · F24 meses de la proyección en el primer año (de 1 a 12, según la fecha del cuestionario). Son exactamente los valores del asesor y del cliente; un supuesto que no aplica aparece como N/A y no entra a ninguna fórmula. B29 (año inicial) y C29 (edad que cumple el cliente ese año: año inicial − año de nacimiento) también son insumos</w:t>
            </w:r>
          </w:p>
        </w:tc>
      </w:tr>
      <w:tr>
        <w:tc>
          <w:tcPr>
            <w:tcW w:type="dxa" w:w="24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Ingresos</w:t>
            </w:r>
          </w:p>
        </w:tc>
        <w:tc>
          <w:tcPr>
            <w:tcW w:type="dxa" w:w="2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I4:P16</w:t>
            </w:r>
          </w:p>
        </w:tc>
        <w:tc>
          <w:tcPr>
            <w:tcW w:type="dxa" w:w="95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Enlaces a la hoja «Ingresos»: L monto declarado · M moneda · N monto en US$ · O desde el período · P hasta el período. Fila 7 ingreso total (actividad) · 8 ingreso de la pareja · 9 otros ingresos recurrentes · 10 pensión del régimen básico (IVM u otro) · 11 alquileres · 12 pensión del ROP · 13 pensión voluntaria (estas dos en la hoja «Fondos de pensión»). Ingresos extraordinarios: 15 total de la sección · 16 traslado del FCL (hoja «Fondos de pensión»)</w:t>
            </w:r>
          </w:p>
        </w:tc>
      </w:tr>
      <w:tr>
        <w:tc>
          <w:tcPr>
            <w:tcW w:type="dxa" w:w="24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Gastos</w:t>
            </w:r>
          </w:p>
        </w:tc>
        <w:tc>
          <w:tcPr>
            <w:tcW w:type="dxa" w:w="2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R4:X17</w:t>
            </w:r>
          </w:p>
        </w:tc>
        <w:tc>
          <w:tcPr>
            <w:tcW w:type="dxa" w:w="95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Enlaces a la hoja «Gastos»: U monto declarado · V moneda · W monto en US$ · X hasta el período. Fila 7 gasto familiar mensual · 8 gasto en el retiro (enlace a F18) · 9 gastos de dependientes · 10 donaciones al año · 11 cuota de la hipoteca (X11 años restantes) · 12 cuotas de deudas (cero si el cliente indicó que ya están en el gasto familiar). Gastos extraordinarios: gastos extraordinarios y metas pagadas con el portafolio. Los datos de cuestionarios anteriores (otras deudas y gastos extraordinarios al año) aparecen solo si existen</w:t>
            </w:r>
          </w:p>
        </w:tc>
      </w:tr>
      <w:tr>
        <w:tc>
          <w:tcPr>
            <w:tcW w:type="dxa" w:w="24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Inversiones y desinversiones</w:t>
            </w:r>
          </w:p>
        </w:tc>
        <w:tc>
          <w:tcPr>
            <w:tcW w:type="dxa" w:w="2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Z4:AE12</w:t>
            </w:r>
          </w:p>
        </w:tc>
        <w:tc>
          <w:tcPr>
            <w:tcW w:type="dxa" w:w="95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Enlaces a las hojas «Inversiones» y «Desinversiones»: AE7 capital inicial del portafolio · AE8 rendimiento esperado (F13) · AE10 a AE12 ventas de inmuebles, de la empresa y de otros activos</w:t>
            </w:r>
          </w:p>
        </w:tc>
      </w:tr>
      <w:tr>
        <w:tc>
          <w:tcPr>
            <w:tcW w:type="dxa" w:w="24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Resumen del plan</w:t>
            </w:r>
          </w:p>
        </w:tc>
        <w:tc>
          <w:tcPr>
            <w:tcW w:type="dxa" w:w="2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AG4:AO15</w:t>
            </w:r>
          </w:p>
        </w:tc>
        <w:tc>
          <w:tcPr>
            <w:tcW w:type="dxa" w:w="95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Flujo del horizonte (AJ7 a AJ11), resultado (AJ13 herencia deseada, AJ14 edad a la que se agota el portafolio, AJ15 ¿alcanza el plan?) y portafolio (AO7 capital inicial · AO8 flujo neto · AO9 flujo neto de inversiones · AO10 rendimientos · AO11 gasto no cubierto · AO12 saldo final nominal · AO13 en dólares de hoy · AO14 gasto no cubierto en dólares de hoy · AO15 saldo del ROP)</w:t>
            </w:r>
          </w:p>
        </w:tc>
      </w:tr>
      <w:tr>
        <w:tc>
          <w:tcPr>
            <w:tcW w:type="dxa" w:w="24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Proyección</w:t>
            </w:r>
          </w:p>
        </w:tc>
        <w:tc>
          <w:tcPr>
            <w:tcW w:type="dxa" w:w="2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Filas 27 a 29 y desde la 30</w:t>
            </w:r>
          </w:p>
        </w:tc>
        <w:tc>
          <w:tcPr>
            <w:tcW w:type="dxa" w:w="95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Dos filas en blanco después de los supuestos; luego la banda, el bloque de cada grupo de columnas y el nombre de cada columna; una fila por año desde la 30, toda con fórmulas. Entre los supuestos (B:G) y los ingresos (I:P) queda la columna H en blanco</w:t>
            </w:r>
          </w:p>
        </w:tc>
      </w:tr>
    </w:tbl>
    <w:p>
      <w:pPr>
        <w:spacing w:after="120" w:line="300"/>
      </w:pPr>
      <w:r>
        <w:t xml:space="preserve">Hojas de detalle. Cada una tiene una fila por elemento y filas libres al final de cada lista para agregar elementos; el total de cada sección y, al final, los totales de la proyección en dólares nominales.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000"/>
        <w:gridCol w:w="5500"/>
        <w:gridCol w:w="6458"/>
      </w:tblGrid>
      <w:tr>
        <w:trPr>
          <w:tblHeader/>
        </w:trPr>
        <w:tc>
          <w:tcPr>
            <w:tcW w:type="dxa" w:w="20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8"/>
                <w:szCs w:val="18"/>
              </w:rPr>
              <w:t xml:space="preserve">Hoja</w:t>
            </w:r>
          </w:p>
        </w:tc>
        <w:tc>
          <w:tcPr>
            <w:tcW w:type="dxa" w:w="55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8"/>
                <w:szCs w:val="18"/>
              </w:rPr>
              <w:t xml:space="preserve">Secciones</w:t>
            </w:r>
          </w:p>
        </w:tc>
        <w:tc>
          <w:tcPr>
            <w:tcW w:type="dxa" w:w="6458"/>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8"/>
                <w:szCs w:val="18"/>
              </w:rPr>
              <w:t xml:space="preserve">Columnas</w:t>
            </w:r>
          </w:p>
        </w:tc>
      </w:tr>
      <w:tr>
        <w:tc>
          <w:tcPr>
            <w:tcW w:type="dxa" w:w="2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Ingresos</w:t>
            </w:r>
          </w:p>
        </w:tc>
        <w:tc>
          <w:tcPr>
            <w:tcW w:type="dxa" w:w="5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Ingresos ordinarios mensuales (ingreso total, pareja, otros ingresos recurrentes, pensión del régimen básico) · alquileres de inmuebles · ingresos extraordinarios</w:t>
            </w:r>
          </w:p>
        </w:tc>
        <w:tc>
          <w:tcPr>
            <w:tcW w:type="dxa" w:w="64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D monto declarado · E moneda · F tipo de cambio aplicado · G monto en US$ · H desde el período, último año con alquiler o año · I hasta el período · J nota (la de la pensión dice desde qué edad y cuántos meses el primer año)</w:t>
            </w:r>
          </w:p>
        </w:tc>
      </w:tr>
      <w:tr>
        <w:tc>
          <w:tcPr>
            <w:tcW w:type="dxa" w:w="2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Gastos</w:t>
            </w:r>
          </w:p>
        </w:tc>
        <w:tc>
          <w:tcPr>
            <w:tcW w:type="dxa" w:w="5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Gastos ordinarios (gasto familiar, donaciones, hipoteca y datos de cuestionarios anteriores) · gastos de dependientes · deudas, con la respuesta de si las cuotas ya están en el gasto familiar (Sí o No) · gastos extraordinarios · metas pagadas con el portafolio · metas financiadas con crédito (año de la meta, plazo, tasa y cuota anual = PAGO sobre el monto de la meta en su año, en la columna K)</w:t>
            </w:r>
          </w:p>
        </w:tc>
        <w:tc>
          <w:tcPr>
            <w:tcW w:type="dxa" w:w="64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D a G como arriba · H periodicidad, año de inicio, último año de pago o año · I hasta el período, años que dura, saldo declarado o frecuencia (1 una vez · 2 cada año) · J moneda del saldo o nota · K saldo en US$ · L tasa (informativa)</w:t>
            </w:r>
          </w:p>
        </w:tc>
      </w:tr>
      <w:tr>
        <w:tc>
          <w:tcPr>
            <w:tcW w:type="dxa" w:w="2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Inversiones</w:t>
            </w:r>
          </w:p>
        </w:tc>
        <w:tc>
          <w:tcPr>
            <w:tcW w:type="dxa" w:w="5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Portafolio de inversión (capital inicial y rendimiento esperado) · inversiones en la proyección · otras inversiones del patrimonio (inmuebles, empresa, capital privado y fondos de pensión; informativo)</w:t>
            </w:r>
          </w:p>
        </w:tc>
        <w:tc>
          <w:tcPr>
            <w:tcW w:type="dxa" w:w="64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D a G como arriba · H participación · I valor según la participación</w:t>
            </w:r>
          </w:p>
        </w:tc>
      </w:tr>
      <w:tr>
        <w:tc>
          <w:tcPr>
            <w:tcW w:type="dxa" w:w="2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Desinversiones</w:t>
            </w:r>
          </w:p>
        </w:tc>
        <w:tc>
          <w:tcPr>
            <w:tcW w:type="dxa" w:w="5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Venta de activos (tipo 1 inmueble · 2 empresa · 3 otro) · detalle de las ventas con valor y deuda en monedas distintas</w:t>
            </w:r>
          </w:p>
        </w:tc>
        <w:tc>
          <w:tcPr>
            <w:tcW w:type="dxa" w:w="64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D a G como arriba · H año · I tipo · en el detalle: valor, deuda y % que se invierte, con el monto que entra = MÁX(0; valor − deuda) × %</w:t>
            </w:r>
          </w:p>
        </w:tc>
      </w:tr>
      <w:tr>
        <w:tc>
          <w:tcPr>
            <w:tcW w:type="dxa" w:w="2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Fondos de pensión</w:t>
            </w:r>
          </w:p>
        </w:tc>
        <w:tc>
          <w:tcPr>
            <w:tcW w:type="dxa" w:w="5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ROP, FCL y pensión voluntaria</w:t>
            </w:r>
          </w:p>
        </w:tc>
        <w:tc>
          <w:tcPr>
            <w:tcW w:type="dxa" w:w="64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E5 = F14, E6 = F11, E7 = F19 y E10 = F12 de la hoja Proyección; el aporte estimado es N7 × F15 (ROP) o × F16 (FCL). El ROP y la pensión voluntaria se pagan desde el año en que el cliente cumple F20, con (12 − F21) / 12 del pago ese primer año; sus aportes terminan al empezar la pensión. Columnas finales: traslado total al portafolio, pensión del ROP y pensión voluntaria</w:t>
            </w:r>
          </w:p>
        </w:tc>
      </w:tr>
    </w:tbl>
    <w:p>
      <w:pPr>
        <w:spacing w:after="120" w:line="300"/>
      </w:pPr>
      <w:r>
        <w:t xml:space="preserve">Monedas. Cada monto del cuestionario se declara con su moneda, al final de la variable (USD o CRC). En las hojas de detalle queda el monto declarado y su moneda, el tipo de cambio aplicado (F7 de la hoja Proyección si es en colones; 1 si es en dólares) y el monto en dólares = monto / tipo de cambio. La proyección usa siempre el monto en dólares.</w:t>
      </w:r>
    </w:p>
    <w:p>
      <w:pPr>
        <w:spacing w:after="120" w:line="300"/>
      </w:pPr>
      <w:r>
        <w:t xml:space="preserve">Columnas de la proyección, en el orden de la estructura acordada:</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000"/>
        <w:gridCol w:w="10958"/>
      </w:tblGrid>
      <w:tr>
        <w:trPr>
          <w:tblHeader/>
        </w:trPr>
        <w:tc>
          <w:tcPr>
            <w:tcW w:type="dxa" w:w="30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8"/>
                <w:szCs w:val="18"/>
              </w:rPr>
              <w:t xml:space="preserve">Bloque</w:t>
            </w:r>
          </w:p>
        </w:tc>
        <w:tc>
          <w:tcPr>
            <w:tcW w:type="dxa" w:w="10958"/>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8"/>
                <w:szCs w:val="18"/>
              </w:rPr>
              <w:t xml:space="preserve">Columnas</w:t>
            </w:r>
          </w:p>
        </w:tc>
      </w:tr>
      <w:tr>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Ingresos ordinarios</w:t>
            </w:r>
          </w:p>
        </w:tc>
        <w:tc>
          <w:tcPr>
            <w:tcW w:type="dxa" w:w="109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F ingreso total · G ingreso de la pareja · H otros ingresos recurrentes · I alquileres · J pensión IVM (o el régimen del cliente) · K pensión del ROP · L pensión voluntaria · M total</w:t>
            </w:r>
          </w:p>
        </w:tc>
      </w:tr>
      <w:tr>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Ingresos extraordinarios</w:t>
            </w:r>
          </w:p>
        </w:tc>
        <w:tc>
          <w:tcPr>
            <w:tcW w:type="dxa" w:w="109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N ingresos extraordinarios · O traslado del FCL · P total</w:t>
            </w:r>
          </w:p>
        </w:tc>
      </w:tr>
      <w:tr>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Ingresos totales</w:t>
            </w:r>
          </w:p>
        </w:tc>
        <w:tc>
          <w:tcPr>
            <w:tcW w:type="dxa" w:w="109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Q = M + P</w:t>
            </w:r>
          </w:p>
        </w:tc>
      </w:tr>
      <w:tr>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Gastos ordinarios</w:t>
            </w:r>
          </w:p>
        </w:tc>
        <w:tc>
          <w:tcPr>
            <w:tcW w:type="dxa" w:w="109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R gasto familiar · S gastos de dependientes · T donaciones · U cuotas de hipoteca, deudas y créditos de metas · V total</w:t>
            </w:r>
          </w:p>
        </w:tc>
      </w:tr>
      <w:tr>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Gastos extraordinarios</w:t>
            </w:r>
          </w:p>
        </w:tc>
        <w:tc>
          <w:tcPr>
            <w:tcW w:type="dxa" w:w="109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W gastos extraordinarios · X inversiones (metas pagadas con el portafolio) · Y total salidas</w:t>
            </w:r>
          </w:p>
        </w:tc>
      </w:tr>
      <w:tr>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Gastos totales</w:t>
            </w:r>
          </w:p>
        </w:tc>
        <w:tc>
          <w:tcPr>
            <w:tcW w:type="dxa" w:w="109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Z = V + Y</w:t>
            </w:r>
          </w:p>
        </w:tc>
      </w:tr>
      <w:tr>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Flujo neto</w:t>
            </w:r>
          </w:p>
        </w:tc>
        <w:tc>
          <w:tcPr>
            <w:tcW w:type="dxa" w:w="109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AA = Q − Z</w:t>
            </w:r>
          </w:p>
        </w:tc>
      </w:tr>
      <w:tr>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Desinversiones</w:t>
            </w:r>
          </w:p>
        </w:tc>
        <w:tc>
          <w:tcPr>
            <w:tcW w:type="dxa" w:w="109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AB venta de inmuebles · AC venta de la empresa · AD venta de otros activos · AE total</w:t>
            </w:r>
          </w:p>
        </w:tc>
      </w:tr>
      <w:tr>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Flujo neto de inversiones</w:t>
            </w:r>
          </w:p>
        </w:tc>
        <w:tc>
          <w:tcPr>
            <w:tcW w:type="dxa" w:w="109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AF = AE (desinversiones)</w:t>
            </w:r>
          </w:p>
        </w:tc>
      </w:tr>
      <w:tr>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Portafolio</w:t>
            </w:r>
          </w:p>
        </w:tc>
        <w:tc>
          <w:tcPr>
            <w:tcW w:type="dxa" w:w="109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AG inicial · AH rendimiento = AG × F13 · AI flujo neto = AA + AF · AJ final nominal = AG + AH + AI + AN · AK en términos reales · AL tasa de retiro = MÁX(0; −AI) / AG · AN gasto no cubierto = MÁX(0; −(AG + AH + AI)): lo que el portafolio ya no alcanza a pagar; define la edad a la que se agota el portafolio y si alcanza el plan</w:t>
            </w:r>
          </w:p>
        </w:tc>
      </w:tr>
    </w:tbl>
    <w:p>
      <w:pPr>
        <w:spacing w:after="120" w:line="300"/>
      </w:pPr>
      <w:r>
        <w:t xml:space="preserve">Índice de inflación del año t: (1 + inflación)^(t − 1), con la inflación de la moneda del monto: local (F8) para los montos en colones e internacional (F9) para los montos en dólares. Los términos reales del portafolio usan la inflación internacional, porque el portafolio está en dólares. Los montos declarados en colones se pasan a dólares como monto / F7.</w:t>
      </w:r>
    </w:p>
    <w:p>
      <w:pPr>
        <w:pStyle w:val="Heading1"/>
      </w:pPr>
      <w:r>
        <w:t xml:space="preserve">2. Cuestionario 1: perfil de riesgo</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200"/>
        <w:gridCol w:w="8158"/>
      </w:tblGrid>
      <w:tr>
        <w:trPr>
          <w:tblHeader/>
        </w:trPr>
        <w:tc>
          <w:tcPr>
            <w:tcW w:type="dxa" w:w="20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8"/>
                <w:szCs w:val="18"/>
              </w:rPr>
              <w:t xml:space="preserve">Preguntas</w:t>
            </w:r>
          </w:p>
        </w:tc>
        <w:tc>
          <w:tcPr>
            <w:tcW w:type="dxa" w:w="26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8"/>
                <w:szCs w:val="18"/>
              </w:rPr>
              <w:t xml:space="preserve">¿Calcula la proyección?</w:t>
            </w:r>
          </w:p>
        </w:tc>
        <w:tc>
          <w:tcPr>
            <w:tcW w:type="dxa" w:w="12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8"/>
                <w:szCs w:val="18"/>
              </w:rPr>
              <w:t xml:space="preserve">Celda</w:t>
            </w:r>
          </w:p>
        </w:tc>
        <w:tc>
          <w:tcPr>
            <w:tcW w:type="dxa" w:w="8158"/>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8"/>
                <w:szCs w:val="18"/>
              </w:rPr>
              <w:t xml:space="preserve">Cómo entra</w:t>
            </w:r>
          </w:p>
        </w:tc>
      </w:tr>
      <w:tr>
        <w:tc>
          <w:tcPr>
            <w:tcW w:type="dxa" w:w="2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1 a 10</w:t>
            </w:r>
          </w:p>
        </w:tc>
        <w:tc>
          <w:tcPr>
            <w:tcW w:type="dxa" w:w="2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Sí, de forma indirecta</w:t>
            </w:r>
          </w:p>
        </w:tc>
        <w:tc>
          <w:tcPr>
            <w:tcW w:type="dxa" w:w="12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F13</w:t>
            </w:r>
          </w:p>
        </w:tc>
        <w:tc>
          <w:tcPr>
            <w:tcW w:type="dxa" w:w="81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Las diez respuestas dan el puntaje del perfil de riesgo. Con la capacidad financiera dan el perfil financiero, y el rendimiento esperado de su cartera modelo se escribe en F13. F13 multiplica el portafolio inicial de cada año (columna AH).</w:t>
            </w:r>
          </w:p>
        </w:tc>
      </w:tr>
    </w:tbl>
    <w:p>
      <w:pPr>
        <w:pStyle w:val="Heading1"/>
      </w:pPr>
      <w:r>
        <w:t xml:space="preserve">3. Cuestionario 2: planificación financiera</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1300"/>
        <w:gridCol w:w="3000"/>
        <w:gridCol w:w="1100"/>
        <w:gridCol w:w="5458"/>
      </w:tblGrid>
      <w:tr>
        <w:trPr>
          <w:tblHeader/>
        </w:trPr>
        <w:tc>
          <w:tcPr>
            <w:tcW w:type="dxa" w:w="6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8"/>
                <w:szCs w:val="18"/>
              </w:rPr>
              <w:t xml:space="preserve">N.º</w:t>
            </w:r>
          </w:p>
        </w:tc>
        <w:tc>
          <w:tcPr>
            <w:tcW w:type="dxa" w:w="25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8"/>
                <w:szCs w:val="18"/>
              </w:rPr>
              <w:t xml:space="preserve">Pregunta</w:t>
            </w:r>
          </w:p>
        </w:tc>
        <w:tc>
          <w:tcPr>
            <w:tcW w:type="dxa" w:w="13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8"/>
                <w:szCs w:val="18"/>
              </w:rPr>
              <w:t xml:space="preserve">¿Calcula la proyección?</w:t>
            </w:r>
          </w:p>
        </w:tc>
        <w:tc>
          <w:tcPr>
            <w:tcW w:type="dxa" w:w="30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8"/>
                <w:szCs w:val="18"/>
              </w:rPr>
              <w:t xml:space="preserve">Celdas de insumo</w:t>
            </w:r>
          </w:p>
        </w:tc>
        <w:tc>
          <w:tcPr>
            <w:tcW w:type="dxa" w:w="1100"/>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8"/>
                <w:szCs w:val="18"/>
              </w:rPr>
              <w:t xml:space="preserve">Columnas</w:t>
            </w:r>
          </w:p>
        </w:tc>
        <w:tc>
          <w:tcPr>
            <w:tcW w:type="dxa" w:w="5458"/>
            <w:tcBorders>
              <w:top w:val="single" w:color="C6CCB4" w:sz="4"/>
              <w:left w:val="single" w:color="C6CCB4" w:sz="4"/>
              <w:bottom w:val="single" w:color="C6CCB4" w:sz="4"/>
              <w:right w:val="single" w:color="C6CCB4" w:sz="4"/>
            </w:tcBorders>
            <w:shd w:fill="2B3014" w:color="auto" w:val="clear"/>
            <w:tcMar>
              <w:top w:type="dxa" w:w="60"/>
              <w:left w:type="dxa" w:w="100"/>
              <w:bottom w:type="dxa" w:w="60"/>
              <w:right w:type="dxa" w:w="100"/>
            </w:tcMar>
          </w:tcPr>
          <w:p>
            <w:pPr>
              <w:spacing w:after="0" w:line="260"/>
            </w:pPr>
            <w:r>
              <w:rPr>
                <w:b/>
                <w:bCs/>
                <w:color w:val="FFFFFF"/>
                <w:sz w:val="18"/>
                <w:szCs w:val="18"/>
              </w:rPr>
              <w:t xml:space="preserve">Cálculo</w:t>
            </w:r>
          </w:p>
        </w:tc>
      </w:tr>
      <w:tr>
        <w:tc>
          <w:tcPr>
            <w:tcW w:type="dxa" w:w="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1</w:t>
            </w:r>
          </w:p>
        </w:tc>
        <w:tc>
          <w:tcPr>
            <w:tcW w:type="dxa" w:w="2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Edad de independencia financiera</w:t>
            </w:r>
          </w:p>
        </w:tc>
        <w:tc>
          <w:tcPr>
            <w:tcW w:type="dxa" w:w="1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Sí</w:t>
            </w:r>
          </w:p>
        </w:tc>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F19 (años hasta la independencia); E (fase)</w:t>
            </w:r>
          </w:p>
        </w:tc>
        <w:tc>
          <w:tcPr>
            <w:tcW w:type="dxa" w:w="1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F, R, E</w:t>
            </w:r>
          </w:p>
        </w:tc>
        <w:tc>
          <w:tcPr>
            <w:tcW w:type="dxa" w:w="54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El ingreso total se proyecta hasta la independencia si no se indica otra edad (P7). Desde la independencia el gasto familiar se multiplica por F18. La independencia no cambia el inicio de la pensión: la pensión empieza a la edad de pensión (F20).</w:t>
            </w:r>
          </w:p>
        </w:tc>
      </w:tr>
      <w:tr>
        <w:tc>
          <w:tcPr>
            <w:tcW w:type="dxa" w:w="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2</w:t>
            </w:r>
          </w:p>
        </w:tc>
        <w:tc>
          <w:tcPr>
            <w:tcW w:type="dxa" w:w="2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Ingreso total mensual, hasta qué edad, de dónde proviene (varias fuentes) y qué tan predecible es</w:t>
            </w:r>
          </w:p>
        </w:tc>
        <w:tc>
          <w:tcPr>
            <w:tcW w:type="dxa" w:w="1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Sí</w:t>
            </w:r>
          </w:p>
        </w:tc>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Hoja «Ingresos», n.º 1 (enlazada en L7:N7); P7</w:t>
            </w:r>
          </w:p>
        </w:tc>
        <w:tc>
          <w:tcPr>
            <w:tcW w:type="dxa" w:w="1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F</w:t>
            </w:r>
          </w:p>
        </w:tc>
        <w:tc>
          <w:tcPr>
            <w:tcW w:type="dxa" w:w="54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F = N7 × 12 × índice mientras el período sea ≤ P7. No incluye el ingreso de la pareja, la pensión ni otros ingresos recurrentes, que se preguntan aparte. La predictibilidad entra a la capacidad financiera (perfil financiero). Las fuentes (salario, empresa propia, honorarios) son descriptivas; un pensionado sin otro ingreso escribe 0.</w:t>
            </w:r>
          </w:p>
        </w:tc>
      </w:tr>
      <w:tr>
        <w:tc>
          <w:tcPr>
            <w:tcW w:type="dxa" w:w="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3</w:t>
            </w:r>
          </w:p>
        </w:tc>
        <w:tc>
          <w:tcPr>
            <w:tcW w:type="dxa" w:w="2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Planificación individual o conjunta; si es conjunta, edad e ingreso mensual de la pareja y hasta qué edad de la pareja lo recibirá</w:t>
            </w:r>
          </w:p>
        </w:tc>
        <w:tc>
          <w:tcPr>
            <w:tcW w:type="dxa" w:w="1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Sí</w:t>
            </w:r>
          </w:p>
        </w:tc>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Hoja «Ingresos», n.º 2 (L8:N8); P8; horizonte (columna C)</w:t>
            </w:r>
          </w:p>
        </w:tc>
        <w:tc>
          <w:tcPr>
            <w:tcW w:type="dxa" w:w="1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G</w:t>
            </w:r>
          </w:p>
        </w:tc>
        <w:tc>
          <w:tcPr>
            <w:tcW w:type="dxa" w:w="54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G = N8 × 12 × índice mientras el período sea ≤ P8, y se suma al total de ingresos ordinarios (M). Si la planificación es conjunta, el horizonte llega hasta la edad final del menor de los dos. Si no se indica hasta qué edad, el ingreso de la pareja se proyecta hasta la independencia del cliente.</w:t>
            </w:r>
          </w:p>
        </w:tc>
      </w:tr>
      <w:tr>
        <w:tc>
          <w:tcPr>
            <w:tcW w:type="dxa" w:w="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4</w:t>
            </w:r>
          </w:p>
        </w:tc>
        <w:tc>
          <w:tcPr>
            <w:tcW w:type="dxa" w:w="2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Pensión y otros ingresos recurrentes adicionales a los del portafolio, con año de inicio y año de fin</w:t>
            </w:r>
          </w:p>
        </w:tc>
        <w:tc>
          <w:tcPr>
            <w:tcW w:type="dxa" w:w="1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Sí</w:t>
            </w:r>
          </w:p>
        </w:tc>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Hoja «Ingresos», n.º 3 y 4 (L9:P10); F20 y F21</w:t>
            </w:r>
          </w:p>
        </w:tc>
        <w:tc>
          <w:tcPr>
            <w:tcW w:type="dxa" w:w="1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J, H</w:t>
            </w:r>
          </w:p>
        </w:tc>
        <w:tc>
          <w:tcPr>
            <w:tcW w:type="dxa" w:w="54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J = N10 × 12 desde el período O10, que es el año en que el cliente cumple la edad de pensión (F20), sin importar la edad de independencia. Ese primer año se paga (12 − F21) / 12 del monto anual, es decir, los meses que siguen al cumpleaños: si cumple en junio, julio a diciembre. Se indexa con la inflación de su moneda hasta el primer pago y con la inflación de la pensión del IVM (F10) después. El título de la columna J es el régimen del cliente (IVM, Magisterio, Poder Judicial, etc.). H = N9 × 12 × índice desde el período O9 hasta el período P9. Si el cliente no conoce el monto de la pensión, lo estima el asesor; mientras tanto no entra en la proyección. Si ya la recibe, O10 = 1 y el año 1 va completo.</w:t>
            </w:r>
          </w:p>
        </w:tc>
      </w:tr>
      <w:tr>
        <w:tc>
          <w:tcPr>
            <w:tcW w:type="dxa" w:w="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5</w:t>
            </w:r>
          </w:p>
        </w:tc>
        <w:tc>
          <w:tcPr>
            <w:tcW w:type="dxa" w:w="2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ROP, FCL y pensión voluntaria, con su operadora</w:t>
            </w:r>
          </w:p>
        </w:tc>
        <w:tc>
          <w:tcPr>
            <w:tcW w:type="dxa" w:w="1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Sí</w:t>
            </w:r>
          </w:p>
        </w:tc>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Hoja «Fondos de pensión»</w:t>
            </w:r>
          </w:p>
        </w:tc>
        <w:tc>
          <w:tcPr>
            <w:tcW w:type="dxa" w:w="1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K, L, O</w:t>
            </w:r>
          </w:p>
        </w:tc>
        <w:tc>
          <w:tcPr>
            <w:tcW w:type="dxa" w:w="54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K recibe la pensión del ROP y L la pensión voluntaria, las dos como ingresos ordinarios desde la edad de pensión (F20), con los meses que siguen al cumpleaños el primer año; la voluntaria usa la modalidad que el cliente eligió para el ROP. O recibe el traslado del FCL (y el ROP en un solo pago a los 65 años si no hay pensión de un régimen básico). La operadora es descriptiva.</w:t>
            </w:r>
          </w:p>
        </w:tc>
      </w:tr>
      <w:tr>
        <w:tc>
          <w:tcPr>
            <w:tcW w:type="dxa" w:w="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6</w:t>
            </w:r>
          </w:p>
        </w:tc>
        <w:tc>
          <w:tcPr>
            <w:tcW w:type="dxa" w:w="2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Ingresos extraordinarios, numerados y con nombre</w:t>
            </w:r>
          </w:p>
        </w:tc>
        <w:tc>
          <w:tcPr>
            <w:tcW w:type="dxa" w:w="1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Sí</w:t>
            </w:r>
          </w:p>
        </w:tc>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Hoja «Ingresos», sección «Ingresos extraordinarios»: n.º y nombre, monto, moneda y año; total en N15</w:t>
            </w:r>
          </w:p>
        </w:tc>
        <w:tc>
          <w:tcPr>
            <w:tcW w:type="dxa" w:w="1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N</w:t>
            </w:r>
          </w:p>
        </w:tc>
        <w:tc>
          <w:tcPr>
            <w:tcW w:type="dxa" w:w="54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N = monto × índice en el año indicado. Sin límite de cantidad: el cliente indica cuántos son y aparece una fila por cada uno.</w:t>
            </w:r>
          </w:p>
        </w:tc>
      </w:tr>
      <w:tr>
        <w:tc>
          <w:tcPr>
            <w:tcW w:type="dxa" w:w="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7</w:t>
            </w:r>
          </w:p>
        </w:tc>
        <w:tc>
          <w:tcPr>
            <w:tcW w:type="dxa" w:w="2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Gasto familiar mensual, porcentaje pagado en dólares y porcentaje en el retiro</w:t>
            </w:r>
          </w:p>
        </w:tc>
        <w:tc>
          <w:tcPr>
            <w:tcW w:type="dxa" w:w="1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Sí</w:t>
            </w:r>
          </w:p>
        </w:tc>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Hoja «Gastos», gasto familiar (U7:W7); F18</w:t>
            </w:r>
          </w:p>
        </w:tc>
        <w:tc>
          <w:tcPr>
            <w:tcW w:type="dxa" w:w="1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R</w:t>
            </w:r>
          </w:p>
        </w:tc>
        <w:tc>
          <w:tcPr>
            <w:tcW w:type="dxa" w:w="54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R = W7 × 12 × (F22 × índice en dólares + F23 × índice en colones); desde la independencia, × F18. La parte del gasto pagada en dólares crece con la inflación internacional (F9) y la parte en colones con la local (F8). No incluye la cuota de la hipoteca, donaciones ni gastos de dependientes, que se preguntan después; las cuotas de deudas, según lo que responda en la pregunta 11. El cuestionario pide el porcentaje que paga en dólares y muestra solo el porcentaje en colones (100% − dólares): van a F22 y F23. Si ya recibe la pensión, F18 = 100%.</w:t>
            </w:r>
          </w:p>
        </w:tc>
      </w:tr>
      <w:tr>
        <w:tc>
          <w:tcPr>
            <w:tcW w:type="dxa" w:w="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8</w:t>
            </w:r>
          </w:p>
        </w:tc>
        <w:tc>
          <w:tcPr>
            <w:tcW w:type="dxa" w:w="2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Personas que dependen del cliente</w:t>
            </w:r>
          </w:p>
        </w:tc>
        <w:tc>
          <w:tcPr>
            <w:tcW w:type="dxa" w:w="1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No</w:t>
            </w:r>
          </w:p>
        </w:tc>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Hoja Cliente</w:t>
            </w:r>
          </w:p>
        </w:tc>
        <w:tc>
          <w:tcPr>
            <w:tcW w:type="dxa" w:w="1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w:t>
            </w:r>
          </w:p>
        </w:tc>
        <w:tc>
          <w:tcPr>
            <w:tcW w:type="dxa" w:w="54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Informativa: su costo está en el gasto familiar (7) o en la pregunta 9.</w:t>
            </w:r>
          </w:p>
        </w:tc>
      </w:tr>
      <w:tr>
        <w:tc>
          <w:tcPr>
            <w:tcW w:type="dxa" w:w="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9</w:t>
            </w:r>
          </w:p>
        </w:tc>
        <w:tc>
          <w:tcPr>
            <w:tcW w:type="dxa" w:w="2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Gastos de dependientes no incluidos en el gasto familiar</w:t>
            </w:r>
          </w:p>
        </w:tc>
        <w:tc>
          <w:tcPr>
            <w:tcW w:type="dxa" w:w="1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Sí</w:t>
            </w:r>
          </w:p>
        </w:tc>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Hoja «Gastos», sección «Gastos de dependientes»: monto anual, moneda, año de inicio y años; total en W9</w:t>
            </w:r>
          </w:p>
        </w:tc>
        <w:tc>
          <w:tcPr>
            <w:tcW w:type="dxa" w:w="1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S</w:t>
            </w:r>
          </w:p>
        </w:tc>
        <w:tc>
          <w:tcPr>
            <w:tcW w:type="dxa" w:w="54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S = suma de los montos vigentes en el año × índice; se suman al gasto familiar. Parentesco: hijo o hija, padre o madre, otro familiar u otro. Sin límite de cantidad.</w:t>
            </w:r>
          </w:p>
        </w:tc>
      </w:tr>
      <w:tr>
        <w:tc>
          <w:tcPr>
            <w:tcW w:type="dxa" w:w="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10</w:t>
            </w:r>
          </w:p>
        </w:tc>
        <w:tc>
          <w:tcPr>
            <w:tcW w:type="dxa" w:w="2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Donaciones al año</w:t>
            </w:r>
          </w:p>
        </w:tc>
        <w:tc>
          <w:tcPr>
            <w:tcW w:type="dxa" w:w="1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Sí</w:t>
            </w:r>
          </w:p>
        </w:tc>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Hoja «Gastos», donaciones (U10:W10)</w:t>
            </w:r>
          </w:p>
        </w:tc>
        <w:tc>
          <w:tcPr>
            <w:tcW w:type="dxa" w:w="1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T</w:t>
            </w:r>
          </w:p>
        </w:tc>
        <w:tc>
          <w:tcPr>
            <w:tcW w:type="dxa" w:w="54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T = W10 × índice.</w:t>
            </w:r>
          </w:p>
        </w:tc>
      </w:tr>
      <w:tr>
        <w:tc>
          <w:tcPr>
            <w:tcW w:type="dxa" w:w="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11</w:t>
            </w:r>
          </w:p>
        </w:tc>
        <w:tc>
          <w:tcPr>
            <w:tcW w:type="dxa" w:w="2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Deudas o pasivos, una por una; si sus cuotas ya están en el gasto familiar; reserva de liquidez</w:t>
            </w:r>
          </w:p>
        </w:tc>
        <w:tc>
          <w:tcPr>
            <w:tcW w:type="dxa" w:w="1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Sí</w:t>
            </w:r>
          </w:p>
        </w:tc>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Hoja «Gastos», sección «Deudas»: n.º y nombre, cuota y su moneda, último año, saldo y su moneda, y tasa; total de cuotas en W12; «¿Las cuotas ya están incluidas en el gasto familiar?» (Sí o No); reserva en la hoja Cliente</w:t>
            </w:r>
          </w:p>
        </w:tc>
        <w:tc>
          <w:tcPr>
            <w:tcW w:type="dxa" w:w="1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U</w:t>
            </w:r>
          </w:p>
        </w:tc>
        <w:tc>
          <w:tcPr>
            <w:tcW w:type="dxa" w:w="54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U suma la cuota × 12 de cada deuda mientras el año sea ≤ su último año de pago, más la hipoteca (W11, X11). Si el cliente responde que las cuotas ya están en el gasto familiar, no se suman de nuevo: quedan solo como información. Sin indexar. Sin límite de cantidad de deudas. La reserva de liquidez no entra al flujo de caja: es un componente de la capacidad financiera (perfil financiero): sin reserva 0 · menos de 3 meses 3,33 · de 3 a 6 meses 6,67 · más de 6 meses 10.</w:t>
            </w:r>
          </w:p>
        </w:tc>
      </w:tr>
      <w:tr>
        <w:tc>
          <w:tcPr>
            <w:tcW w:type="dxa" w:w="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12</w:t>
            </w:r>
          </w:p>
        </w:tc>
        <w:tc>
          <w:tcPr>
            <w:tcW w:type="dxa" w:w="2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Gastos extraordinarios, numerados, con nombre, año y frecuencia</w:t>
            </w:r>
          </w:p>
        </w:tc>
        <w:tc>
          <w:tcPr>
            <w:tcW w:type="dxa" w:w="1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Sí</w:t>
            </w:r>
          </w:p>
        </w:tc>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Hoja «Gastos», sección «Gastos extraordinarios»: n.º y nombre, monto, moneda, año y frecuencia (1 una vez · 2 cada año); total en W14</w:t>
            </w:r>
          </w:p>
        </w:tc>
        <w:tc>
          <w:tcPr>
            <w:tcW w:type="dxa" w:w="1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W</w:t>
            </w:r>
          </w:p>
        </w:tc>
        <w:tc>
          <w:tcPr>
            <w:tcW w:type="dxa" w:w="54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W = monto × índice en su año, o cada año desde ese año. Sin límite de cantidad.</w:t>
            </w:r>
          </w:p>
        </w:tc>
      </w:tr>
      <w:tr>
        <w:tc>
          <w:tcPr>
            <w:tcW w:type="dxa" w:w="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13</w:t>
            </w:r>
          </w:p>
        </w:tc>
        <w:tc>
          <w:tcPr>
            <w:tcW w:type="dxa" w:w="2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Monto del portafolio y porcentaje del patrimonio</w:t>
            </w:r>
          </w:p>
        </w:tc>
        <w:tc>
          <w:tcPr>
            <w:tcW w:type="dxa" w:w="1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Sí</w:t>
            </w:r>
          </w:p>
        </w:tc>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Hoja «Inversiones», capital inicial (AC7:AE7)</w:t>
            </w:r>
          </w:p>
        </w:tc>
        <w:tc>
          <w:tcPr>
            <w:tcW w:type="dxa" w:w="1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AG</w:t>
            </w:r>
          </w:p>
        </w:tc>
        <w:tc>
          <w:tcPr>
            <w:tcW w:type="dxa" w:w="54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El monto es el capital inicial: AG30 = AE7. Entra al tamaño del portafolio del perfil financiero (portafolio actual frente al mínimo requerido). El porcentaje declarado es un dato de control, junto al peso calculado con los activos declarados (hoja Cliente); no interviene en la proyección.</w:t>
            </w:r>
          </w:p>
        </w:tc>
      </w:tr>
      <w:tr>
        <w:tc>
          <w:tcPr>
            <w:tcW w:type="dxa" w:w="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14</w:t>
            </w:r>
          </w:p>
        </w:tc>
        <w:tc>
          <w:tcPr>
            <w:tcW w:type="dxa" w:w="2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Vivienda e inmuebles de inversión</w:t>
            </w:r>
          </w:p>
        </w:tc>
        <w:tc>
          <w:tcPr>
            <w:tcW w:type="dxa" w:w="1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Sí</w:t>
            </w:r>
          </w:p>
        </w:tc>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Hoja «Gastos», hipoteca (U11:X11); hoja «Ingresos», sección «Alquileres de inmuebles»; hoja «Desinversiones» con tipo 1 (venta). Cada monto del inmueble (valor, renta y saldo de deuda) lleva su propia moneda; si el valor y la deuda están en monedas distintas, el neto de la venta se calcula en dólares con el tipo de cambio, en el detalle de la hoja «Desinversiones»</w:t>
            </w:r>
          </w:p>
        </w:tc>
        <w:tc>
          <w:tcPr>
            <w:tcW w:type="dxa" w:w="1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U, I, AB</w:t>
            </w:r>
          </w:p>
        </w:tc>
        <w:tc>
          <w:tcPr>
            <w:tcW w:type="dxa" w:w="54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Cuota de la hipoteca mientras dure el plazo; alquileres × 12 × índice hasta el año anterior a la venta; (valor − deuda) × % que invierte, en el año de la venta. «Sujeto a análisis» no se proyecta. Sin límite de cantidad de inmuebles.</w:t>
            </w:r>
          </w:p>
        </w:tc>
      </w:tr>
      <w:tr>
        <w:tc>
          <w:tcPr>
            <w:tcW w:type="dxa" w:w="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15</w:t>
            </w:r>
          </w:p>
        </w:tc>
        <w:tc>
          <w:tcPr>
            <w:tcW w:type="dxa" w:w="2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Empresas propias: cantidad y, por cada una, nombre, participación, valor estimado, plan de venta o traspaso y destino de la venta</w:t>
            </w:r>
          </w:p>
        </w:tc>
        <w:tc>
          <w:tcPr>
            <w:tcW w:type="dxa" w:w="1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Sí</w:t>
            </w:r>
          </w:p>
        </w:tc>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Hoja «Desinversiones» con tipo 2 (una fila por empresa que se vende y se invierte aquí); hoja «Inversiones», otras inversiones (una fila por empresa); total en AE11</w:t>
            </w:r>
          </w:p>
        </w:tc>
        <w:tc>
          <w:tcPr>
            <w:tcW w:type="dxa" w:w="1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AC</w:t>
            </w:r>
          </w:p>
        </w:tc>
        <w:tc>
          <w:tcPr>
            <w:tcW w:type="dxa" w:w="54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AC = valor × participación × % que invierte, en el año de la venta de cada empresa. Todas las empresas entran al patrimonio total.</w:t>
            </w:r>
          </w:p>
        </w:tc>
      </w:tr>
      <w:tr>
        <w:tc>
          <w:tcPr>
            <w:tcW w:type="dxa" w:w="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16</w:t>
            </w:r>
          </w:p>
        </w:tc>
        <w:tc>
          <w:tcPr>
            <w:tcW w:type="dxa" w:w="2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Capital privado y porcentaje de participación</w:t>
            </w:r>
          </w:p>
        </w:tc>
        <w:tc>
          <w:tcPr>
            <w:tcW w:type="dxa" w:w="1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No</w:t>
            </w:r>
          </w:p>
        </w:tc>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Hoja Cliente (patrimonio total)</w:t>
            </w:r>
          </w:p>
        </w:tc>
        <w:tc>
          <w:tcPr>
            <w:tcW w:type="dxa" w:w="1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w:t>
            </w:r>
          </w:p>
        </w:tc>
        <w:tc>
          <w:tcPr>
            <w:tcW w:type="dxa" w:w="54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Valor × participación entra al patrimonio total, no a la proyección.</w:t>
            </w:r>
          </w:p>
        </w:tc>
      </w:tr>
      <w:tr>
        <w:tc>
          <w:tcPr>
            <w:tcW w:type="dxa" w:w="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17</w:t>
            </w:r>
          </w:p>
        </w:tc>
        <w:tc>
          <w:tcPr>
            <w:tcW w:type="dxa" w:w="2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Venta de otros activos (sin el capital privado de la pregunta 16)</w:t>
            </w:r>
          </w:p>
        </w:tc>
        <w:tc>
          <w:tcPr>
            <w:tcW w:type="dxa" w:w="1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Sí</w:t>
            </w:r>
          </w:p>
        </w:tc>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Hoja «Desinversiones» con tipo 3; total en AE12</w:t>
            </w:r>
          </w:p>
        </w:tc>
        <w:tc>
          <w:tcPr>
            <w:tcW w:type="dxa" w:w="1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AD</w:t>
            </w:r>
          </w:p>
        </w:tc>
        <w:tc>
          <w:tcPr>
            <w:tcW w:type="dxa" w:w="54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AD = monto × índice en el año de la venta. Sin límite de cantidad.</w:t>
            </w:r>
          </w:p>
        </w:tc>
      </w:tr>
      <w:tr>
        <w:tc>
          <w:tcPr>
            <w:tcW w:type="dxa" w:w="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18</w:t>
            </w:r>
          </w:p>
        </w:tc>
        <w:tc>
          <w:tcPr>
            <w:tcW w:type="dxa" w:w="2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Metas y cómo se financian; si el tipo es «Otra», el nombre de la meta; si se financia con crédito, la tasa y el plazo</w:t>
            </w:r>
          </w:p>
        </w:tc>
        <w:tc>
          <w:tcPr>
            <w:tcW w:type="dxa" w:w="1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Sí</w:t>
            </w:r>
          </w:p>
        </w:tc>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Hoja «Gastos»: «Metas pagadas con el portafolio» (monto, moneda y año; total en W15) y «Metas financiadas con crédito» (año, plazo, tasa y cuota anual)</w:t>
            </w:r>
          </w:p>
        </w:tc>
        <w:tc>
          <w:tcPr>
            <w:tcW w:type="dxa" w:w="1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X, U</w:t>
            </w:r>
          </w:p>
        </w:tc>
        <w:tc>
          <w:tcPr>
            <w:tcW w:type="dxa" w:w="54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X (inversiones) = monto × índice en el año de cada meta pagada con el portafolio; suma en el total de salidas (Y). U suma la cuota anual de cada meta financiada con crédito: PAGO(tasa; plazo; −monto × índice del año de la meta), desde el año de la meta y durante el plazo. Sin límite de cantidad.</w:t>
            </w:r>
          </w:p>
        </w:tc>
      </w:tr>
      <w:tr>
        <w:tc>
          <w:tcPr>
            <w:tcW w:type="dxa" w:w="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19</w:t>
            </w:r>
          </w:p>
        </w:tc>
        <w:tc>
          <w:tcPr>
            <w:tcW w:type="dxa" w:w="2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Retiro adicional del portafolio, distinto de las metas de la pregunta 18</w:t>
            </w:r>
          </w:p>
        </w:tc>
        <w:tc>
          <w:tcPr>
            <w:tcW w:type="dxa" w:w="1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No</w:t>
            </w:r>
          </w:p>
        </w:tc>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Hoja Cliente</w:t>
            </w:r>
          </w:p>
        </w:tc>
        <w:tc>
          <w:tcPr>
            <w:tcW w:type="dxa" w:w="1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w:t>
            </w:r>
          </w:p>
        </w:tc>
        <w:tc>
          <w:tcPr>
            <w:tcW w:type="dxa" w:w="54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Dato del horizonte de la inversión (perfil). No entra al flujo: el dinero que sale del portafolio ya está en los gastos y las metas, así que sumarlo lo contaría dos veces.</w:t>
            </w:r>
          </w:p>
        </w:tc>
      </w:tr>
      <w:tr>
        <w:tc>
          <w:tcPr>
            <w:tcW w:type="dxa" w:w="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20</w:t>
            </w:r>
          </w:p>
        </w:tc>
        <w:tc>
          <w:tcPr>
            <w:tcW w:type="dxa" w:w="2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Destino del patrimonio</w:t>
            </w:r>
          </w:p>
        </w:tc>
        <w:tc>
          <w:tcPr>
            <w:tcW w:type="dxa" w:w="1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Sí, en el resultado</w:t>
            </w:r>
          </w:p>
        </w:tc>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AJ13 (herencia deseada)</w:t>
            </w:r>
          </w:p>
        </w:tc>
        <w:tc>
          <w:tcPr>
            <w:tcW w:type="dxa" w:w="1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Resultado</w:t>
            </w:r>
          </w:p>
        </w:tc>
        <w:tc>
          <w:tcPr>
            <w:tcW w:type="dxa" w:w="54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Si el saldo final en dólares de hoy (AO13) no cubre la herencia, el plan no alcanza (AJ15). También define el rendimiento de equilibrio.</w:t>
            </w:r>
          </w:p>
        </w:tc>
      </w:tr>
      <w:tr>
        <w:tc>
          <w:tcPr>
            <w:tcW w:type="dxa" w:w="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21</w:t>
            </w:r>
          </w:p>
        </w:tc>
        <w:tc>
          <w:tcPr>
            <w:tcW w:type="dxa" w:w="2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Seguros vigentes</w:t>
            </w:r>
          </w:p>
        </w:tc>
        <w:tc>
          <w:tcPr>
            <w:tcW w:type="dxa" w:w="1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No</w:t>
            </w:r>
          </w:p>
        </w:tc>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Hoja Cliente</w:t>
            </w:r>
          </w:p>
        </w:tc>
        <w:tc>
          <w:tcPr>
            <w:tcW w:type="dxa" w:w="1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w:t>
            </w:r>
          </w:p>
        </w:tc>
        <w:tc>
          <w:tcPr>
            <w:tcW w:type="dxa" w:w="54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Descriptiva.</w:t>
            </w:r>
          </w:p>
        </w:tc>
      </w:tr>
      <w:tr>
        <w:tc>
          <w:tcPr>
            <w:tcW w:type="dxa" w:w="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22</w:t>
            </w:r>
          </w:p>
        </w:tc>
        <w:tc>
          <w:tcPr>
            <w:tcW w:type="dxa" w:w="2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Proporción en dólares y colones</w:t>
            </w:r>
          </w:p>
        </w:tc>
        <w:tc>
          <w:tcPr>
            <w:tcW w:type="dxa" w:w="1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No</w:t>
            </w:r>
          </w:p>
        </w:tc>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Hoja Cliente</w:t>
            </w:r>
          </w:p>
        </w:tc>
        <w:tc>
          <w:tcPr>
            <w:tcW w:type="dxa" w:w="1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w:t>
            </w:r>
          </w:p>
        </w:tc>
        <w:tc>
          <w:tcPr>
            <w:tcW w:type="dxa" w:w="54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Descriptiva.</w:t>
            </w:r>
          </w:p>
        </w:tc>
      </w:tr>
      <w:tr>
        <w:tc>
          <w:tcPr>
            <w:tcW w:type="dxa" w:w="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23</w:t>
            </w:r>
          </w:p>
        </w:tc>
        <w:tc>
          <w:tcPr>
            <w:tcW w:type="dxa" w:w="2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Estructuras jurídicas que posee y si este portafolio está en alguna de ellas</w:t>
            </w:r>
          </w:p>
        </w:tc>
        <w:tc>
          <w:tcPr>
            <w:tcW w:type="dxa" w:w="1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No</w:t>
            </w:r>
          </w:p>
        </w:tc>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Hoja Cliente: estructuras, las que contienen este portafolio y las que mantiene fuera de él</w:t>
            </w:r>
          </w:p>
        </w:tc>
        <w:tc>
          <w:tcPr>
            <w:tcW w:type="dxa" w:w="1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w:t>
            </w:r>
          </w:p>
        </w:tc>
        <w:tc>
          <w:tcPr>
            <w:tcW w:type="dxa" w:w="54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Diagnóstico de la estructura operativa y fiscal: identifica dónde se encuentra el portafolio.</w:t>
            </w:r>
          </w:p>
        </w:tc>
      </w:tr>
      <w:tr>
        <w:tc>
          <w:tcPr>
            <w:tcW w:type="dxa" w:w="6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24</w:t>
            </w:r>
          </w:p>
        </w:tc>
        <w:tc>
          <w:tcPr>
            <w:tcW w:type="dxa" w:w="25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Comentarios</w:t>
            </w:r>
          </w:p>
        </w:tc>
        <w:tc>
          <w:tcPr>
            <w:tcW w:type="dxa" w:w="13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No</w:t>
            </w:r>
          </w:p>
        </w:tc>
        <w:tc>
          <w:tcPr>
            <w:tcW w:type="dxa" w:w="30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Hoja Cliente</w:t>
            </w:r>
          </w:p>
        </w:tc>
        <w:tc>
          <w:tcPr>
            <w:tcW w:type="dxa" w:w="1100"/>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w:t>
            </w:r>
          </w:p>
        </w:tc>
        <w:tc>
          <w:tcPr>
            <w:tcW w:type="dxa" w:w="5458"/>
            <w:tcBorders>
              <w:top w:val="single" w:color="C6CCB4" w:sz="4"/>
              <w:left w:val="single" w:color="C6CCB4" w:sz="4"/>
              <w:bottom w:val="single" w:color="C6CCB4" w:sz="4"/>
              <w:right w:val="single" w:color="C6CCB4" w:sz="4"/>
            </w:tcBorders>
            <w:tcMar>
              <w:top w:type="dxa" w:w="60"/>
              <w:left w:type="dxa" w:w="100"/>
              <w:bottom w:type="dxa" w:w="60"/>
              <w:right w:type="dxa" w:w="100"/>
            </w:tcMar>
          </w:tcPr>
          <w:p>
            <w:pPr>
              <w:spacing w:after="0" w:line="260"/>
            </w:pPr>
            <w:r>
              <w:rPr>
                <w:b w:val="false"/>
                <w:bCs w:val="false"/>
                <w:sz w:val="18"/>
                <w:szCs w:val="18"/>
              </w:rPr>
              <w:t xml:space="preserve">Descriptiva.</w:t>
            </w:r>
          </w:p>
        </w:tc>
      </w:tr>
    </w:tbl>
    <w:p>
      <w:pPr>
        <w:pStyle w:val="Heading1"/>
      </w:pPr>
      <w:r>
        <w:t xml:space="preserve">4. Resumen</w:t>
      </w:r>
    </w:p>
    <w:p>
      <w:pPr>
        <w:pStyle w:val="ListParagraph"/>
        <w:numPr>
          <w:ilvl w:val="0"/>
          <w:numId w:val="2"/>
        </w:numPr>
        <w:spacing w:after="60" w:line="290"/>
      </w:pPr>
      <w:r>
        <w:rPr>
          <w:b/>
          <w:bCs/>
        </w:rPr>
        <w:t xml:space="preserve">Calculan la proyección: </w:t>
      </w:r>
      <w:r>
        <w:t xml:space="preserve">preguntas 1 a 7, 9 a 15, 17, 18 y 20 del cuestionario 2, y las diez preguntas del cuestionario 1 a través del rendimiento esperado (F13).</w:t>
      </w:r>
    </w:p>
    <w:p>
      <w:pPr>
        <w:pStyle w:val="ListParagraph"/>
        <w:numPr>
          <w:ilvl w:val="0"/>
          <w:numId w:val="2"/>
        </w:numPr>
        <w:spacing w:after="60" w:line="290"/>
      </w:pPr>
      <w:r>
        <w:rPr>
          <w:b/>
          <w:bCs/>
        </w:rPr>
        <w:t xml:space="preserve">No calculan la proyección: </w:t>
      </w:r>
      <w:r>
        <w:t xml:space="preserve">preguntas 8, 16, 19, 21, 22, 23 y 24. Quedan en la hoja Cliente; la 16 entra al patrimonio total y la 19 es un dato de horizonte. La reserva de liquidez (pregunta 11) no entra al flujo, pero sí a la capacidad financiera.</w:t>
      </w:r>
    </w:p>
    <w:p>
      <w:pPr>
        <w:pStyle w:val="ListParagraph"/>
        <w:numPr>
          <w:ilvl w:val="0"/>
          <w:numId w:val="2"/>
        </w:numPr>
        <w:spacing w:after="60" w:line="290"/>
      </w:pPr>
      <w:r>
        <w:rPr>
          <w:b/>
          <w:bCs/>
        </w:rPr>
        <w:t xml:space="preserve">Sin doble conteo: </w:t>
      </w:r>
      <w:r>
        <w:t xml:space="preserve">el gasto familiar (pregunta 7) excluye los gastos de dependientes (9), las donaciones (10) y la cuota de la hipoteca (14), que se suman aparte en los gastos ordinarios; las cuotas de deudas (11) se suman aparte salvo que el cliente indique que ya están en el gasto familiar. El primer retiro (18) no entra al flujo; las metas (19) son gastos extraordinarios. El ingreso total (2) excluye el ingreso de la pareja (3), la pensión y otros ingresos recurrentes (4), que se suman aparte en los ingresos ordinarios. La pregunta 8 solo informa quiénes dependen del cliente.</w:t>
      </w:r>
    </w:p>
    <w:p>
      <w:pPr>
        <w:pStyle w:val="ListParagraph"/>
        <w:numPr>
          <w:ilvl w:val="0"/>
          <w:numId w:val="2"/>
        </w:numPr>
        <w:spacing w:after="60" w:line="290"/>
      </w:pPr>
      <w:r>
        <w:rPr>
          <w:b/>
          <w:bCs/>
        </w:rPr>
        <w:t xml:space="preserve">Supuestos y N/A: </w:t>
      </w:r>
      <w:r>
        <w:t xml:space="preserve">en el dashboard solo se piden los supuestos que usa la proyección del cliente y que el cliente no respondió en el cuestionario (por ejemplo, la edad de inicio de la pensión o la modalidad del ROP, si ya las indicó). Los que no aplican (tipo de cambio sin montos en colones, inflación de la pensión sin pensión ni ROP, fondos de pensión que no tiene) quedan en N/A de forma automática y no entran a ninguna fórmula. La inflación de ingresos, la de salud y el ajuste de alquileres eran referenciales y se retiraron. En el Excel, la columna F de la hoja Proyección lleva exactamente esos valores y la G dice su origen; no hay valores fijos dentro de las fórmulas.</w:t>
      </w:r>
    </w:p>
    <w:p>
      <w:pPr>
        <w:pStyle w:val="ListParagraph"/>
        <w:numPr>
          <w:ilvl w:val="0"/>
          <w:numId w:val="2"/>
        </w:numPr>
        <w:spacing w:after="60" w:line="290"/>
      </w:pPr>
      <w:r>
        <w:rPr>
          <w:b/>
          <w:bCs/>
        </w:rPr>
        <w:t xml:space="preserve">Caminos para alcanzar el objetivo: </w:t>
      </w:r>
      <w:r>
        <w:t xml:space="preserve">en la hoja Cliente (sección «Caminos para alcanzar el objetivo», o «Margen del plan» si ya alcanza) cada fila mueve una sola variable, con todo lo demás igual: rendimiento, capital inicial, aporte anual al portafolio, gasto familiar, gastos extraordinarios, aporte a la pensión voluntaria, edad de independencia y herencia.</w:t>
      </w:r>
    </w:p>
    <w:p>
      <w:pPr>
        <w:pStyle w:val="ListParagraph"/>
        <w:numPr>
          <w:ilvl w:val="0"/>
          <w:numId w:val="2"/>
        </w:numPr>
        <w:spacing w:after="60" w:line="290"/>
      </w:pPr>
      <w:r>
        <w:rPr>
          <w:b/>
          <w:bCs/>
        </w:rPr>
        <w:t xml:space="preserve">Ingresos y gastos por moneda: </w:t>
      </w:r>
      <w:r>
        <w:t xml:space="preserve">cada monto se presenta en la moneda en que el cliente lo declaró: columna de colones (monto en colones), columna de colones en US$ (los mismos colones divididos entre el tipo de cambio F7) y columna de dólares. El gasto familiar se reparte con el porcentaje en dólares de la pregunta 7 (F22). Se separan los ingresos y gastos recurrentes (al año) de los montos puntuales del horizonte: ingresos extraordinarios (pregunta 6), ventas de activos (preguntas 14, 15 y 17), gastos de una vez (pregunta 12) y metas (pregunta 18); las cuotas de las metas financiadas con crédito van con los gastos recurrentes.</w:t>
      </w:r>
    </w:p>
    <w:p>
      <w:pPr>
        <w:pStyle w:val="ListParagraph"/>
        <w:numPr>
          <w:ilvl w:val="0"/>
          <w:numId w:val="2"/>
        </w:numPr>
        <w:spacing w:after="60" w:line="290"/>
      </w:pPr>
      <w:r>
        <w:rPr>
          <w:b/>
          <w:bCs/>
        </w:rPr>
        <w:t xml:space="preserve">Primer año de la proyección: </w:t>
      </w:r>
      <w:r>
        <w:t xml:space="preserve">la proyección parte de la fecha en que el cliente llenó el cuestionario. Si lo llenó en el año de inicio, el primer año solo cuenta los meses que faltan, incluido el mes en curso: F24 = 13 − mes del cuestionario (octubre: octubre, noviembre y diciembre, 3 meses). En la primera fila de la proyección (fila 30), los montos recurrentes se multiplican por F24/12: ingresos (actividad, pareja, otros ingresos, alquileres y pensiones), gasto familiar, gastos de dependientes, donaciones, cuotas, gastos extraordinarios de cada año y el rendimiento del portafolio; en la hoja «Fondos de pensión», los aportes, el rendimiento y la pensión del primer año. Ejemplo: un gasto de dependientes de US$120 000 al año que empieza en 2026, con el cuestionario de octubre de 2026, suma US$30 000 en 2026 (120 000 / 12 × 3) y el monto completo desde 2027. Los montos puntuales (ingresos extraordinarios, ventas, gastos de una vez y metas) van completos en su año. La pensión que empieza en el primer año toma el menor entre los meses después del cumpleaños y los meses que faltan. Los términos reales descuentan la inflación del tiempo transcurrido: (1 + F9)^(período − 1 + F24/12). Si el cuestionario es de un año anterior al de inicio, F24 = 12.</w:t>
      </w:r>
    </w:p>
    <w:p>
      <w:pPr>
        <w:pStyle w:val="ListParagraph"/>
        <w:numPr>
          <w:ilvl w:val="0"/>
          <w:numId w:val="2"/>
        </w:numPr>
        <w:spacing w:after="60" w:line="290"/>
      </w:pPr>
      <w:r>
        <w:rPr>
          <w:b/>
          <w:bCs/>
        </w:rPr>
        <w:t xml:space="preserve">Escenarios: </w:t>
      </w:r>
      <w:r>
        <w:t xml:space="preserve">el dashboard (página 2) y la presentación muestran qué pasa con el portafolio si la independencia financiera llega hoy o dentro de 10, 15 o 20 años, con todo lo demás igual (pregunta 1 y el plazo del ingreso de la pregunta 2): portafolio al retiro, saldo final en dólares de hoy, edad a la que se agota, rendimiento de equilibrio y si alcanza. Al lado, el rendimiento que cubre los gastos hasta el final del horizonte sin herencia, el rendimiento de equilibrio (cubre los gastos y deja la herencia de la pregunta 20) y el de la cartera asignada (F13). Son cálculos del dashboard sobre la misma proyección; no cambian el Excel.</w:t>
      </w:r>
    </w:p>
    <w:p>
      <w:pPr>
        <w:pStyle w:val="ListParagraph"/>
        <w:numPr>
          <w:ilvl w:val="0"/>
          <w:numId w:val="2"/>
        </w:numPr>
        <w:spacing w:after="60" w:line="290"/>
      </w:pPr>
      <w:r>
        <w:rPr>
          <w:b/>
          <w:bCs/>
        </w:rPr>
        <w:t xml:space="preserve">Presentación: </w:t>
      </w:r>
      <w:r>
        <w:t xml:space="preserve">el botón «Descargar PPT» del dashboard genera el PowerPoint con portada e introducción y, después, en este orden: objetivos del cliente; perfil del cliente (perfil de riesgo y perfil financiero, y una segunda diapositiva con las cifras clave y la capacidad financiera); ingresos y gastos después del retiro; ingresos y gastos por moneda; proyección del portafolio; escenarios. Siguen el rendimiento de equilibrio, las carteras, los caminos o el margen del plan y los supuestos. En instituciones no se incluyen las diapositivas de retiro, moneda ni escenarios. La ficha PDF tiene el mismo contenido y el mismo orden. El dashboard sigue el mismo orden: los objetivos abren la página 1 y, en la página 2, después de las carteras, van los ingresos y gastos después del retiro, por moneda, la proyección y los escenarios.</w:t>
      </w:r>
    </w:p>
    <w:p>
      <w:pPr>
        <w:pStyle w:val="ListParagraph"/>
        <w:numPr>
          <w:ilvl w:val="0"/>
          <w:numId w:val="2"/>
        </w:numPr>
        <w:spacing w:after="60" w:line="290"/>
      </w:pPr>
      <w:r>
        <w:rPr>
          <w:b/>
          <w:bCs/>
        </w:rPr>
        <w:t xml:space="preserve">Orden en el Excel: </w:t>
      </w:r>
      <w:r>
        <w:t xml:space="preserve">los ingresos extraordinarios, los gastos extraordinarios y las deudas conservan en el Excel el número y el nombre que tienen en el cuestionario.</w:t>
      </w:r>
    </w:p>
    <w:sectPr>
      <w:footerReference w:type="default" r:id="rId6"/>
      <w:pgSz w:w="16838" w:h="11906" w:orient="landscape"/>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5E44"/>
        <w:sz w:val="16"/>
        <w:szCs w:val="16"/>
      </w:rPr>
      <w:t xml:space="preserve">Chotocruz &amp; Co. · Manual de vinculación · documento interno · página </w:t>
    </w:r>
    <w:r>
      <w:rPr>
        <w:color w:val="5A5E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010"/>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18042" w:sz="6" w:space="4"/>
      </w:pBdr>
      <w:spacing w:after="140" w:before="320"/>
      <w:outlineLvl w:val="0"/>
    </w:pPr>
    <w:rPr>
      <w:b/>
      <w:bCs/>
      <w:color w:val="2B301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vinculación: cuestionario y Excel de proyección</dc:title>
  <dc:creator>Chotocruz &amp; Co.</dc:creator>
  <cp:lastModifiedBy>Un-named</cp:lastModifiedBy>
  <cp:revision>1</cp:revision>
  <dcterms:created xsi:type="dcterms:W3CDTF">2026-10-27T21:35:37.287Z</dcterms:created>
  <dcterms:modified xsi:type="dcterms:W3CDTF">2026-10-29T12:00:00Z</dcterms:modified>
</cp:coreProperties>
</file>

<file path=docProps/custom.xml><?xml version="1.0" encoding="utf-8"?>
<Properties xmlns="http://schemas.openxmlformats.org/officeDocument/2006/custom-properties" xmlns:vt="http://schemas.openxmlformats.org/officeDocument/2006/docPropsVTypes"/>
</file>