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5.29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Porcentaje del portafolio en colones para cubrir gastos</w:t>
      </w:r>
    </w:p>
    <w:p>
      <w:pPr>
        <w:spacing w:after="120" w:line="300"/>
      </w:pPr>
      <w:r>
        <w:t xml:space="preserve">Responde cuánto del portafolio debe estar en bonos en colones (Costa Rica) para cubrir los gastos en colones del cliente, y cuánto de la renta fija de su cartera va a bonos en dólares (EE. UU.). Paso 1, gasto anual por moneda: los gastos recurrentes del cuestionario, en valor de hoy, según la moneda en que se declararon (el gasto familiar, según el porcentaje que el cliente paga en dólares).</w:t>
      </w:r>
    </w:p>
    <w:p>
      <w:pPr>
        <w:spacing w:after="120" w:line="300"/>
      </w:pPr>
      <w:r>
        <w:t xml:space="preserve">Paso 2, capital requerido en Costa Rica = gasto anual en colones ÷ rendimiento de los bonos en colones: el capital cuyos intereses pagan ese gasto sin consumir el principal. El rendimiento no es un rango fijo: es un solo valor que el asesor digita según el mercado del día (por ejemplo 6,0% hoy; dentro de un mes o un año puede ser 6,5%, 3% o 12%). La firma define el valor por defecto en sus valores de la firma y el asesor lo cambia en los supuestos de cada cliente; el capital requerido, el reparto de la renta fija y las conclusiones se recalculan con ese valor. Ejemplo: ₡54 000 000 al año ÷ 6,0% = ₡900 000 000 (US$2 000 000 al tipo de cambio de 450).</w:t>
      </w:r>
    </w:p>
    <w:p>
      <w:pPr>
        <w:spacing w:after="120" w:line="300"/>
      </w:pPr>
      <w:r>
        <w:t xml:space="preserve">Paso 3, reparto de la renta fija de la cartera sugerida (según el perfil y sus topes): primero bonos en Costa Rica, hasta el capital requerido; el resto, bonos en EE. UU. Si el capital requerido supera la renta fija de la cartera, el dashboard indica si cabe dentro del tope de renta fija del perfil. Como referencia, muestra también el capital requerido si los ingresos en colones del cliente (pensión, alquileres) pagan parte de esos gastos. Está en el dashboard (página 2), la ficha, la presentación y la hoja Cliente del Excel; el dashboard, la ficha y la presentación lo muestran con una dona del portafolio (el porcentaje en bonos en colones al centro) y las tres cifras que lo explican: gasto en colones al mes y al año, capital que lo paga con intereses y el resto de la renta fija en EE. UU.; el detalle de las tablas queda debajo.</w:t>
      </w:r>
    </w:p>
    <w:p>
      <w:pPr>
        <w:spacing w:after="120" w:line="300"/>
      </w:pPr>
      <w:r>
        <w:t xml:space="preserve">Ingresos y gastos de los próximos 12 meses: sustituye a «Ingresos y gastos después del retiro». Mes a mes, desde el mes del cuestionario, sin promedios: los recurrentes del primer año entre los meses que cuenta ese año y los del año siguiente entre 12. Los montos puntuales (de una vez, metas y retiros del portafolio) solo tienen año: van en una fila por año y entran al total.</w:t>
      </w:r>
    </w:p>
    <w:p>
      <w:pPr>
        <w:spacing w:after="120" w:line="300"/>
      </w:pPr>
      <w:r>
        <w:t xml:space="preserve">Margen del plan: el dashboard, la ficha, la presentación y el Excel muestran la metodología de cálculo de cada cifra. Cada límite se obtiene cambiando una sola variable y recalculando la proyección con una búsqueda binaria. Gasto familiar: límite = gasto actual × el mayor factor con el que se cumple el objetivo. Herencia: en términos reales; saldo final en dólares de hoy = saldo final nominal ÷ (1 + inflación internacional)^años. El portafolio final se muestra en términos reales y nominales. ¿Alcanza el plan? (antes de las conclusiones): la respuesta va primero; un diagrama de flujo (Sankey) muestra de dónde sale el dinero del plan en todo el horizonte (portafolio inicial, ingresos, ventas, aportes y rendimientos) y a dónde va (gastos recurrentes, gastos extraordinarios y metas, y saldo final); luego, sus razones (los rendimientos frente al faltante de flujo, el margen de rendimiento, el saldo del portafolio y la herencia). Conclusiones para la toma de decisiones (sustituyen a «Permanencia del cliente»): dependencia del portafolio (ingresos propios sobre gastos), tasa de retiro frente a la referencia del 4% (Bengen, 1994), rendimiento real, liquidez de cinco años frente a la renta fija y el efectivo, exposición al colón y liquidez del patrimonio. La sección «Patrimonio total» se retiró: la sustituye el detalle de activos y pasivos. La tasa de retiro inicial se mide en el primer año completo de retiro.</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por el monto total invertido); vivienda principal (muy baja, de uso propio, por su valor estimado). Las empresas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e incluye la vivienda principal con el valor estimado que declara el cliente (pregunta 14; si la vivienda es alquilada, se pide el alquiler mensual, que es informativo porque ya está en el gasto familiar).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 monto total invertido y detalle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total invertido (sin porcentaje de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 xml:space="preserve">Escenarios: se retiraron del dashboard, la ficha, la presentación y el Excel en la versión 5.24; se incluirán más adelante. En su lugar está la estrategia de flujo de caja por moneda.</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2026-10-29T12:00:00Z</dcterms:modified>
</cp:coreProperties>
</file>

<file path=docProps/custom.xml><?xml version="1.0" encoding="utf-8"?>
<Properties xmlns="http://schemas.openxmlformats.org/officeDocument/2006/custom-properties" xmlns:vt="http://schemas.openxmlformats.org/officeDocument/2006/docPropsVTypes"/>
</file>