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1.16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B4:G23</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26 a 28 y desde la 29</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29,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y deudas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AG29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 propia y su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del portafolio distinto de las metas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«Metas pagadas con el portafolio»: monto, moneda y año; total en W15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Las financiadas con crédito no entran.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19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18, 21, 22, 23 y 24. Quedan en la hoja Cliente; la 16 entra al patrimonio total y la 18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2026-10-22T20:33:44.850Z</dcterms:created>
  <dcterms:modified xsi:type="dcterms:W3CDTF">2026-10-22T20:33:44.851Z</dcterms:modified>
</cp:coreProperties>
</file>

<file path=docProps/custom.xml><?xml version="1.0" encoding="utf-8"?>
<Properties xmlns="http://schemas.openxmlformats.org/officeDocument/2006/custom-properties" xmlns:vt="http://schemas.openxmlformats.org/officeDocument/2006/docPropsVTypes"/>
</file>