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2B3014"/>
          <w:sz w:val="40"/>
          <w:szCs w:val="40"/>
        </w:rPr>
        <w:t>Metodología del perfil de riesgo y de la proyección</w:t>
      </w:r>
    </w:p>
    <w:p>
      <w:pPr>
        <w:spacing w:after="120" w:line="300"/>
      </w:pPr>
      <w:r>
        <w:rPr>
          <w:color w:val="5A5E44"/>
        </w:rPr>
        <w:t>Chotocruz &amp; Co. · documento interno · versión 5.12 · octubre de 2026</w:t>
      </w:r>
    </w:p>
    <w:p>
      <w:pPr>
        <w:spacing w:after="120" w:line="300"/>
      </w:pPr>
      <w:r>
        <w:t>El documento tiene dos partes. La primera explica cómo se calcula el perfil de riesgo a partir de las respuestas del cuestionario. La segunda explica cómo se calcula la proyección del Excel: sus fórmulas, las preguntas que la alimentan y los supuestos que fija el analista.</w:t>
      </w:r>
    </w:p>
    <w:p>
      <w:pPr>
        <w:pStyle w:val="Heading1"/>
      </w:pPr>
      <w:r>
        <w:t>Parte 1. Cálculo del perfil de riesgo</w:t>
      </w:r>
    </w:p>
    <w:p>
      <w:pPr>
        <w:pStyle w:val="Heading2"/>
      </w:pPr>
      <w:r>
        <w:t>1.1 Resumen del método</w:t>
      </w:r>
    </w:p>
    <w:p>
      <w:pPr>
        <w:spacing w:after="120" w:line="300"/>
      </w:pPr>
      <w:r>
        <w:t>El método da dos conclusiones separadas, cada una con su puntaje de 0 a 10 y su perfil:</w:t>
      </w:r>
    </w:p>
    <w:p>
      <w:pPr>
        <w:pStyle w:val="ListParagraph"/>
        <w:numPr>
          <w:ilvl w:val="0"/>
          <w:numId w:val="2"/>
        </w:numPr>
        <w:spacing w:after="60" w:line="290"/>
      </w:pPr>
      <w:r>
        <w:rPr>
          <w:b/>
          <w:bCs/>
        </w:rPr>
        <w:t xml:space="preserve">Perfil de riesgo. </w:t>
      </w:r>
      <w:r>
        <w:t>Sale solo de las diez preguntas del cuestionario 1. Su puntaje es el promedio ponderado de las diez respuestas y se ubica en uno de los cinco perfiles.</w:t>
      </w:r>
    </w:p>
    <w:p>
      <w:pPr>
        <w:pStyle w:val="ListParagraph"/>
        <w:numPr>
          <w:ilvl w:val="0"/>
          <w:numId w:val="2"/>
        </w:numPr>
        <w:spacing w:after="60" w:line="290"/>
      </w:pPr>
      <w:r>
        <w:rPr>
          <w:b/>
          <w:bCs/>
        </w:rPr>
        <w:t>Perfil financiero. Agrega la capacidad financiera, medida con el flujo del cuestionario de planificación. El puntaje financiero es el menor entre el puntaje del perfil de riesgo y la capacidad financiera.</w:t>
      </w:r>
      <w:r/>
    </w:p>
    <w:p>
      <w:pPr>
        <w:pStyle w:val="ListParagraph"/>
        <w:numPr>
          <w:ilvl w:val="0"/>
          <w:numId w:val="2"/>
        </w:numPr>
        <w:spacing w:after="60" w:line="290"/>
      </w:pPr>
      <w:r>
        <w:t>La planificación puede confirmar o bajar el perfil de riesgo, nunca subirlo. La proyección usa el rendimiento del perfil financiero.</w:t>
      </w:r>
    </w:p>
    <w:p>
      <w:pPr>
        <w:pStyle w:val="ListParagraph"/>
        <w:numPr>
          <w:ilvl w:val="0"/>
          <w:numId w:val="2"/>
        </w:numPr>
        <w:spacing w:after="60" w:line="290"/>
      </w:pPr>
      <w:r>
        <w:t>Ningún dato entra en los dos cuestionarios, así que ningún dato se cuenta dos veces.</w:t>
      </w:r>
    </w:p>
    <w:p>
      <w:pPr>
        <w:pStyle w:val="Heading2"/>
      </w:pPr>
      <w:r>
        <w:t>1.2 Puntaje de cada pregunta</w:t>
      </w:r>
    </w:p>
    <w:p>
      <w:pPr>
        <w:spacing w:after="120" w:line="300"/>
      </w:pPr>
      <w:r>
        <w:t>Las preguntas se presentan en el orden del cuestionario de familias. Al pie de cada una se indica su subescala y su peso.</w:t>
      </w:r>
    </w:p>
    <w:p>
      <w:pPr>
        <w:pStyle w:val="Heading3"/>
      </w:pPr>
      <w:r>
        <w:t>Pregunta 1. Significado del riesgo</w:t>
      </w:r>
    </w:p>
    <w:p>
      <w:pPr>
        <w:spacing w:after="120" w:line="300"/>
      </w:pPr>
      <w:r>
        <w:rPr>
          <w:i/>
          <w:iCs/>
        </w:rPr>
        <w:t>Cuando escucha la palabra «riesgo» referida a su patrimonio, ¿qué es lo primero que le viene a la 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rPr>
          <w:tblHeader/>
        </w:trPr>
        <w:tc>
          <w:tcPr>
            <w:tcW w:type="dxa" w:w="7426"/>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Respuesta</w:t>
            </w:r>
          </w:p>
        </w:tc>
        <w:tc>
          <w:tcPr>
            <w:tcW w:type="dxa" w:w="16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Puntaje</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Pérdida</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0</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Preocupación</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3,33</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Incertidumbre</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6,67</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Oportunidad</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10</w:t>
            </w:r>
          </w:p>
        </w:tc>
      </w:tr>
    </w:tbl>
    <w:p>
      <w:pPr>
        <w:spacing w:after="120" w:line="300"/>
      </w:pPr>
      <w:r>
        <w:rPr>
          <w:b/>
          <w:bCs/>
        </w:rPr>
        <w:t xml:space="preserve">Subescala: </w:t>
      </w:r>
      <w:r>
        <w:t xml:space="preserve">Tolerancia. </w:t>
      </w:r>
      <w:r>
        <w:rPr>
          <w:b/>
          <w:bCs/>
        </w:rPr>
        <w:t xml:space="preserve">Peso: </w:t>
      </w:r>
      <w:r>
        <w:t>1.</w:t>
      </w:r>
    </w:p>
    <w:p>
      <w:pPr>
        <w:pStyle w:val="Heading3"/>
      </w:pPr>
      <w:r>
        <w:t>Pregunta 2. Decisiones con información incompleta</w:t>
      </w:r>
    </w:p>
    <w:p>
      <w:pPr>
        <w:spacing w:after="120" w:line="300"/>
      </w:pPr>
      <w:r>
        <w:rPr>
          <w:i/>
          <w:iCs/>
        </w:rPr>
        <w:t>Cuando debe decidir sobre una inversión y no tiene toda la información que quisiera, ¿qué hace normalmente?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rPr>
          <w:tblHeader/>
        </w:trPr>
        <w:tc>
          <w:tcPr>
            <w:tcW w:type="dxa" w:w="7426"/>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Respuesta</w:t>
            </w:r>
          </w:p>
        </w:tc>
        <w:tc>
          <w:tcPr>
            <w:tcW w:type="dxa" w:w="16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Puntaje</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Prefiero esperar hasta contar con más información, aunque pueda perder la oportunidad</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0</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Busco una segunda opinión o asesoría antes de tomar la decisión</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3,33</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Decido con la información disponible y reviso la decisión conforme aparece nueva información</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6,67</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Tomo la decisión con rapidez si considero que la oportunidad lo justifica</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10</w:t>
            </w:r>
          </w:p>
        </w:tc>
      </w:tr>
    </w:tbl>
    <w:p>
      <w:pPr>
        <w:spacing w:after="120" w:line="300"/>
      </w:pPr>
      <w:r>
        <w:rPr>
          <w:b/>
          <w:bCs/>
        </w:rPr>
        <w:t xml:space="preserve">Subescala: </w:t>
      </w:r>
      <w:r>
        <w:t xml:space="preserve">Tolerancia. </w:t>
      </w:r>
      <w:r>
        <w:rPr>
          <w:b/>
          <w:bCs/>
        </w:rPr>
        <w:t xml:space="preserve">Peso: </w:t>
      </w:r>
      <w:r>
        <w:t>1.</w:t>
      </w:r>
    </w:p>
    <w:p>
      <w:pPr>
        <w:pStyle w:val="Heading3"/>
      </w:pPr>
      <w:r>
        <w:t>Pregunta 3. Frecuencia de revisión</w:t>
      </w:r>
    </w:p>
    <w:p>
      <w:pPr>
        <w:spacing w:after="120" w:line="300"/>
      </w:pPr>
      <w:r>
        <w:rPr>
          <w:i/>
          <w:iCs/>
        </w:rPr>
        <w:t>Si su portafolio estuviera invertido hoy, ¿con qué frecuencia sentiría la necesidad de revisar su valor?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rPr>
          <w:tblHeader/>
        </w:trPr>
        <w:tc>
          <w:tcPr>
            <w:tcW w:type="dxa" w:w="7426"/>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Respuesta</w:t>
            </w:r>
          </w:p>
        </w:tc>
        <w:tc>
          <w:tcPr>
            <w:tcW w:type="dxa" w:w="16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Puntaje</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Varias veces por semana</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0</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Una vez por semana</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3,33</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Una vez al mes</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6,67</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Cada tres meses o con menor frecuencia</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10</w:t>
            </w:r>
          </w:p>
        </w:tc>
      </w:tr>
    </w:tbl>
    <w:p>
      <w:pPr>
        <w:spacing w:after="120" w:line="300"/>
      </w:pPr>
      <w:r>
        <w:rPr>
          <w:b/>
          <w:bCs/>
        </w:rPr>
        <w:t xml:space="preserve">Subescala: </w:t>
      </w:r>
      <w:r>
        <w:t xml:space="preserve">Tolerancia. </w:t>
      </w:r>
      <w:r>
        <w:rPr>
          <w:b/>
          <w:bCs/>
        </w:rPr>
        <w:t xml:space="preserve">Peso: </w:t>
      </w:r>
      <w:r>
        <w:t>1.</w:t>
      </w:r>
    </w:p>
    <w:p>
      <w:pPr>
        <w:pStyle w:val="Heading3"/>
      </w:pPr>
      <w:r>
        <w:t>Pregunta 4. Pérdida frente a ganancia no obtenida</w:t>
      </w:r>
    </w:p>
    <w:p>
      <w:pPr>
        <w:spacing w:after="120" w:line="300"/>
      </w:pPr>
      <w:r>
        <w:rPr>
          <w:i/>
          <w:iCs/>
        </w:rPr>
        <w:t>¿Cuál de estas dos situaciones le incomodaría más?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rPr>
          <w:tblHeader/>
        </w:trPr>
        <w:tc>
          <w:tcPr>
            <w:tcW w:type="dxa" w:w="7426"/>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Respuesta</w:t>
            </w:r>
          </w:p>
        </w:tc>
        <w:tc>
          <w:tcPr>
            <w:tcW w:type="dxa" w:w="16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Puntaje</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Que mi portafolio pierda 20% en un año</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0</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Que mi portafolio deje de ganar el 20% que sí ganó el mercado</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10</w:t>
            </w:r>
          </w:p>
        </w:tc>
      </w:tr>
    </w:tbl>
    <w:p>
      <w:pPr>
        <w:spacing w:after="120" w:line="300"/>
      </w:pPr>
      <w:r>
        <w:rPr>
          <w:b/>
          <w:bCs/>
        </w:rPr>
        <w:t xml:space="preserve">Subescala: </w:t>
      </w:r>
      <w:r>
        <w:t xml:space="preserve">Apetito. </w:t>
      </w:r>
      <w:r>
        <w:rPr>
          <w:b/>
          <w:bCs/>
        </w:rPr>
        <w:t xml:space="preserve">Peso: </w:t>
      </w:r>
      <w:r>
        <w:t>2.</w:t>
      </w:r>
    </w:p>
    <w:p>
      <w:pPr>
        <w:pStyle w:val="Heading3"/>
      </w:pPr>
      <w:r>
        <w:t>Pregunta 5. Retorno esperado y caída máxima</w:t>
      </w:r>
    </w:p>
    <w:p>
      <w:pPr>
        <w:spacing w:after="120" w:line="300"/>
      </w:pPr>
      <w:r>
        <w:rPr>
          <w:i/>
          <w:iCs/>
        </w:rPr>
        <w:t>¿Qué combinación de rendimiento esperado y pérdida máxima en un año aceptaría?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rPr>
          <w:tblHeader/>
        </w:trPr>
        <w:tc>
          <w:tcPr>
            <w:tcW w:type="dxa" w:w="7426"/>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Respuesta</w:t>
            </w:r>
          </w:p>
        </w:tc>
        <w:tc>
          <w:tcPr>
            <w:tcW w:type="dxa" w:w="16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Puntaje</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Rendimiento esperado anual de 5% a 5,5% · pérdida anual esperada de −5%</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0</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Rendimiento esperado anual de 6% a 6,5% · pérdida anual esperada de −7%</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2,5</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Rendimiento esperado anual de 7% a 7,5% · pérdida anual esperada de −9%</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5</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Rendimiento esperado anual de 8% a 8,5% · pérdida anual esperada de −12%</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7,5</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Rendimiento esperado anual de 9% a 9,5% · pérdida anual esperada de −16%</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10</w:t>
            </w:r>
          </w:p>
        </w:tc>
      </w:tr>
    </w:tbl>
    <w:p>
      <w:pPr>
        <w:spacing w:after="120" w:line="300"/>
      </w:pPr>
      <w:r>
        <w:rPr>
          <w:b/>
          <w:bCs/>
        </w:rPr>
        <w:t xml:space="preserve">Subescala: </w:t>
      </w:r>
      <w:r>
        <w:t xml:space="preserve">Apetito. </w:t>
      </w:r>
      <w:r>
        <w:rPr>
          <w:b/>
          <w:bCs/>
        </w:rPr>
        <w:t xml:space="preserve">Peso: </w:t>
      </w:r>
      <w:r>
        <w:t>2.</w:t>
      </w:r>
    </w:p>
    <w:p>
      <w:pPr>
        <w:pStyle w:val="Heading3"/>
      </w:pPr>
      <w:r>
        <w:t>Pregunta 6. Aportes o retiros frente a riesgo</w:t>
      </w:r>
    </w:p>
    <w:p>
      <w:pPr>
        <w:spacing w:after="120" w:line="300"/>
      </w:pPr>
      <w:r>
        <w:rPr>
          <w:i/>
          <w:iCs/>
        </w:rPr>
        <w:t>Primero el cliente indica si hoy aporta a sus inversiones o vive de ellas; según la respuesta ve una de dos versiones, con los mismos puntajes. Aporta: «Para alcanzar sus metas financieras, ¿qué prefiere?». Vive de ellas: «Para que su portafolio sostenga sus retiros, ¿qué prefiere?». Así la pregunta también aplica a quien ya no puede aportar, porque su palanca equivalente es retirar menos.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rPr>
          <w:tblHeader/>
        </w:trPr>
        <w:tc>
          <w:tcPr>
            <w:tcW w:type="dxa" w:w="7426"/>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Respuesta</w:t>
            </w:r>
          </w:p>
        </w:tc>
        <w:tc>
          <w:tcPr>
            <w:tcW w:type="dxa" w:w="16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Puntaje</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Aporta: Aumentar mis aportes y mantener un riesgo bajo · Vive del portafolio: Reducir mis retiros y mantener un riesgo bajo</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0</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Aporta: Aportar un poco más con un riesgo moderado · Vive del portafolio: Reducir un poco mis retiros con un riesgo moderado</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3,33</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Aporta: Mantener mis aportes y aceptar más riesgo · Vive del portafolio: Mantener mis retiros y aceptar más riesgo</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6,67</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Aporta: Depender sobre todo del rendimiento, aun con fluctuaciones mayores · Vive del portafolio: Mantener o aumentar mis retiros apoyándome en el rendimiento, aun con fluctuaciones mayores</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10</w:t>
            </w:r>
          </w:p>
        </w:tc>
      </w:tr>
    </w:tbl>
    <w:p>
      <w:pPr>
        <w:spacing w:after="120" w:line="300"/>
      </w:pPr>
      <w:r>
        <w:rPr>
          <w:b/>
          <w:bCs/>
        </w:rPr>
        <w:t xml:space="preserve">Subescala: </w:t>
      </w:r>
      <w:r>
        <w:t xml:space="preserve">Apetito. </w:t>
      </w:r>
      <w:r>
        <w:rPr>
          <w:b/>
          <w:bCs/>
        </w:rPr>
        <w:t xml:space="preserve">Peso: </w:t>
      </w:r>
      <w:r>
        <w:t>1.</w:t>
      </w:r>
    </w:p>
    <w:p>
      <w:pPr>
        <w:pStyle w:val="Heading3"/>
      </w:pPr>
      <w:r>
        <w:t>Pregunta 7. Reacción ante la última pérdida</w:t>
      </w:r>
    </w:p>
    <w:p>
      <w:pPr>
        <w:spacing w:after="120" w:line="300"/>
      </w:pPr>
      <w:r>
        <w:rPr>
          <w:i/>
          <w:iCs/>
        </w:rPr>
        <w:t>La última vez que una inversión, un negocio o una propiedad suya perdió valor de forma importante, ¿qué hizo?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rPr>
          <w:tblHeader/>
        </w:trPr>
        <w:tc>
          <w:tcPr>
            <w:tcW w:type="dxa" w:w="7426"/>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Respuesta</w:t>
            </w:r>
          </w:p>
        </w:tc>
        <w:tc>
          <w:tcPr>
            <w:tcW w:type="dxa" w:w="16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Puntaje</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Vendí o salí de la inversión</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0</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Reduje parte de mi exposición</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3,33</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Mantuve mi posición sin hacer cambios</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6,67</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Aumenté mi exposición aprovechando la caída</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10</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No aplica: no he vivido una situación similar</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No se cuenta</w:t>
            </w:r>
          </w:p>
        </w:tc>
      </w:tr>
    </w:tbl>
    <w:p>
      <w:pPr>
        <w:spacing w:after="120" w:line="300"/>
      </w:pPr>
      <w:r>
        <w:rPr>
          <w:b/>
          <w:bCs/>
        </w:rPr>
        <w:t xml:space="preserve">Subescala: </w:t>
      </w:r>
      <w:r>
        <w:t xml:space="preserve">Tolerancia. </w:t>
      </w:r>
      <w:r>
        <w:rPr>
          <w:b/>
          <w:bCs/>
        </w:rPr>
        <w:t xml:space="preserve">Peso: </w:t>
      </w:r>
      <w:r>
        <w:t>2.</w:t>
      </w:r>
      <w:r>
        <w:t xml:space="preserve"> Si responde «No aplica», la pregunta no entra al promedio.</w:t>
      </w:r>
    </w:p>
    <w:p>
      <w:pPr>
        <w:pStyle w:val="Heading3"/>
      </w:pPr>
      <w:r>
        <w:t>Pregunta 8. Uso de un año bueno</w:t>
      </w:r>
    </w:p>
    <w:p>
      <w:pPr>
        <w:spacing w:after="120" w:line="300"/>
      </w:pPr>
      <w:r>
        <w:rPr>
          <w:i/>
          <w:iCs/>
        </w:rPr>
        <w:t>Después de un año excepcionalmente bueno en su empresa o en su portafolio, ¿qué suele hacer con ese excedente?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rPr>
          <w:tblHeader/>
        </w:trPr>
        <w:tc>
          <w:tcPr>
            <w:tcW w:type="dxa" w:w="7426"/>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Respuesta</w:t>
            </w:r>
          </w:p>
        </w:tc>
        <w:tc>
          <w:tcPr>
            <w:tcW w:type="dxa" w:w="16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Puntaje</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Lo mantengo en liquidez para contar con una reserva</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0</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Lo utilizo para reducir deuda u otros compromisos financieros</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2,5</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Lo distribuyo entre ahorro, inversión y otros objetivos</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5</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Lo reinvierto manteniendo una estrategia similar</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7,5</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Lo destino a nuevas oportunidades con mayor potencial y mayor riesgo</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10</w:t>
            </w:r>
          </w:p>
        </w:tc>
      </w:tr>
    </w:tbl>
    <w:p>
      <w:pPr>
        <w:spacing w:after="120" w:line="300"/>
      </w:pPr>
      <w:r>
        <w:rPr>
          <w:b/>
          <w:bCs/>
        </w:rPr>
        <w:t xml:space="preserve">Subescala: </w:t>
      </w:r>
      <w:r>
        <w:t xml:space="preserve">Apetito. </w:t>
      </w:r>
      <w:r>
        <w:rPr>
          <w:b/>
          <w:bCs/>
        </w:rPr>
        <w:t xml:space="preserve">Peso: </w:t>
      </w:r>
      <w:r>
        <w:t>1.</w:t>
      </w:r>
    </w:p>
    <w:p>
      <w:pPr>
        <w:pStyle w:val="Heading3"/>
      </w:pPr>
      <w:r>
        <w:t>Pregunta 9. Reacción ante un año malo</w:t>
      </w:r>
    </w:p>
    <w:p>
      <w:pPr>
        <w:spacing w:after="120" w:line="300"/>
      </w:pPr>
      <w:r>
        <w:rPr>
          <w:i/>
          <w:iCs/>
        </w:rPr>
        <w:t>Después de un año excepcionalmente malo en su portafolio, ¿qué suele hacer?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rPr>
          <w:tblHeader/>
        </w:trPr>
        <w:tc>
          <w:tcPr>
            <w:tcW w:type="dxa" w:w="7426"/>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Respuesta</w:t>
            </w:r>
          </w:p>
        </w:tc>
        <w:tc>
          <w:tcPr>
            <w:tcW w:type="dxa" w:w="16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Puntaje</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Reduzco mi exposición y aumento la liquidez</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0</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Hago algunos ajustes para disminuir el riesgo</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2,5</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Mantengo la estrategia sin cambios importantes</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5</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Rebalanceo y aprovecho algunas oportunidades</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7,5</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Aumento mi exposición buscando beneficiarme de la recuperación</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10</w:t>
            </w:r>
          </w:p>
        </w:tc>
      </w:tr>
    </w:tbl>
    <w:p>
      <w:pPr>
        <w:spacing w:after="120" w:line="300"/>
      </w:pPr>
      <w:r>
        <w:rPr>
          <w:b/>
          <w:bCs/>
        </w:rPr>
        <w:t xml:space="preserve">Subescala: </w:t>
      </w:r>
      <w:r>
        <w:t xml:space="preserve">Tolerancia. </w:t>
      </w:r>
      <w:r>
        <w:rPr>
          <w:b/>
          <w:bCs/>
        </w:rPr>
        <w:t xml:space="preserve">Peso: </w:t>
      </w:r>
      <w:r>
        <w:t>2.</w:t>
      </w:r>
    </w:p>
    <w:p>
      <w:pPr>
        <w:pStyle w:val="Heading3"/>
      </w:pPr>
      <w:r>
        <w:t>Pregunta 10. Alternativa única de inversión</w:t>
      </w:r>
    </w:p>
    <w:p>
      <w:pPr>
        <w:spacing w:after="120" w:line="300"/>
      </w:pPr>
      <w:r>
        <w:rPr>
          <w:i/>
          <w:iCs/>
        </w:rPr>
        <w:t>Si tuviera que invertir una parte de su patrimonio en una sola alternativa durante varios años, ¿cuál elegiría? No puede combinar varias opciones.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rPr>
          <w:tblHeader/>
        </w:trPr>
        <w:tc>
          <w:tcPr>
            <w:tcW w:type="dxa" w:w="7426"/>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Respuesta</w:t>
            </w:r>
          </w:p>
        </w:tc>
        <w:tc>
          <w:tcPr>
            <w:tcW w:type="dxa" w:w="16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Puntaje</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Certificado de depósito bancario · rendimiento esperado de 3% a 4% anual · sin fluctuaciones de mercado</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0</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Bonos de alta calidad · rendimiento esperado de 4% a 5% anual · fluctuaciones anuales de aproximadamente ±3%</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3,33</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Inversión inmobiliaria diversificada · rendimiento esperado de 6% a 7% anual · fluctuaciones anuales de aproximadamente ±8%</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6,67</w:t>
            </w:r>
          </w:p>
        </w:tc>
      </w:tr>
      <w:tr>
        <w:tc>
          <w:tcPr>
            <w:tcW w:type="dxa" w:w="7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Acciones globales diversificadas · rendimiento esperado de 8% a 9% anual · fluctuaciones anuales de aproximadamente ±15%</w:t>
            </w:r>
          </w:p>
        </w:tc>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10</w:t>
            </w:r>
          </w:p>
        </w:tc>
      </w:tr>
    </w:tbl>
    <w:p>
      <w:pPr>
        <w:spacing w:after="120" w:line="300"/>
      </w:pPr>
      <w:r>
        <w:rPr>
          <w:b/>
          <w:bCs/>
        </w:rPr>
        <w:t xml:space="preserve">Subescala: </w:t>
      </w:r>
      <w:r>
        <w:t xml:space="preserve">Apetito. </w:t>
      </w:r>
      <w:r>
        <w:rPr>
          <w:b/>
          <w:bCs/>
        </w:rPr>
        <w:t xml:space="preserve">Peso: </w:t>
      </w:r>
      <w:r>
        <w:t>2.</w:t>
      </w:r>
    </w:p>
    <w:p>
      <w:pPr>
        <w:pStyle w:val="Heading2"/>
      </w:pPr>
      <w:r>
        <w:t>1.3 Puntaje del perfil de riesgo</w:t>
      </w:r>
    </w:p>
    <w:p>
      <w:pPr>
        <w:spacing w:after="120" w:line="300"/>
      </w:pPr>
      <w:r>
        <w:t>Es el promedio ponderado de las diez preguntas. Las preguntas que miden conducta o decisiones concretas (4, 5, 7, 9 y 10 del cuestionario) pesan el doble que las de percepción.</w:t>
      </w:r>
    </w:p>
    <w:p>
      <w:pPr>
        <w:shd w:fill="F4F5EE" w:color="auto" w:val="clear"/>
        <w:spacing w:after="120" w:before="60"/>
        <w:ind w:left="360"/>
      </w:pPr>
      <w:r>
        <w:rPr>
          <w:rFonts w:ascii="Consolas" w:cs="Consolas" w:eastAsia="Consolas" w:hAnsi="Consolas"/>
          <w:color w:val="2B3014"/>
          <w:sz w:val="19"/>
          <w:szCs w:val="19"/>
        </w:rPr>
        <w:t>Puntaje del perfil de riesgo = Σ (puntaje × peso) / Σ (peso)</w:t>
      </w:r>
    </w:p>
    <w:p>
      <w:pPr>
        <w:spacing w:after="120" w:line="300"/>
      </w:pPr>
      <w:r>
        <w:t>Solo se suman las preguntas respondidas; una pregunta en blanco o «No aplica» sale del numerador y del denominador. Con todas respondidas, la suma de pesos es 15.</w:t>
      </w:r>
    </w:p>
    <w:p>
      <w:pPr>
        <w:spacing w:after="120" w:line="300"/>
      </w:pPr>
      <w:r>
        <w:t>La tolerancia (preguntas 1, 2, 3, 7 y 9) y el apetito (preguntas 4, 5, 6, 8 y 10) se calculan con la misma fórmula. Son los dos ejes del plano del perfil de riesgo: la tolerancia en el eje horizontal y el apetito en el vertical. Las franjas diagonales del plano son los cinco perfiles y salen de la misma fórmula del puntaje, por lo que la posición del cliente en el plano y su perfil siempre coinciden.</w:t>
      </w:r>
    </w:p>
    <w:p>
      <w:pPr>
        <w:pStyle w:val="Heading2"/>
      </w:pPr>
      <w:r>
        <w:t>1.4 Los cinco perfiles</w:t>
      </w:r>
    </w:p>
    <w:p>
      <w:pPr>
        <w:spacing w:after="120" w:line="300"/>
      </w:pPr>
      <w:r>
        <w:t>La escala de 0 a 10 se divide en cinco tramos de igual amplitud: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000"/>
        <w:gridCol w:w="2726"/>
      </w:tblGrid>
      <w:tr>
        <w:trPr>
          <w:tblHeader/>
        </w:trPr>
        <w:tc>
          <w:tcPr>
            <w:tcW w:type="dxa" w:w="20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Puntaje</w:t>
            </w:r>
          </w:p>
        </w:tc>
        <w:tc>
          <w:tcPr>
            <w:tcW w:type="dxa" w:w="23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Perfil</w:t>
            </w:r>
          </w:p>
        </w:tc>
        <w:tc>
          <w:tcPr>
            <w:tcW w:type="dxa" w:w="20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Rendimiento esperado</w:t>
            </w:r>
          </w:p>
        </w:tc>
        <w:tc>
          <w:tcPr>
            <w:tcW w:type="dxa" w:w="2726"/>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Renta variable · renta fija · efectivo</w:t>
            </w:r>
          </w:p>
        </w:tc>
      </w:tr>
      <w:tr>
        <w:tc>
          <w:tcPr>
            <w:tcW w:type="dxa" w:w="2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Menor que 2</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Conservador</w:t>
            </w:r>
          </w:p>
        </w:tc>
        <w:tc>
          <w:tcPr>
            <w:tcW w:type="dxa" w:w="2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5,0%</w:t>
            </w:r>
          </w:p>
        </w:tc>
        <w:tc>
          <w:tcPr>
            <w:tcW w:type="dxa" w:w="27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20% · 50% · 30%</w:t>
            </w:r>
          </w:p>
        </w:tc>
      </w:tr>
      <w:tr>
        <w:tc>
          <w:tcPr>
            <w:tcW w:type="dxa" w:w="2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De 2 a menos de 4</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Moderado conservador</w:t>
            </w:r>
          </w:p>
        </w:tc>
        <w:tc>
          <w:tcPr>
            <w:tcW w:type="dxa" w:w="2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6,0%</w:t>
            </w:r>
          </w:p>
        </w:tc>
        <w:tc>
          <w:tcPr>
            <w:tcW w:type="dxa" w:w="27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40% · 42,5% · 17,5%</w:t>
            </w:r>
          </w:p>
        </w:tc>
      </w:tr>
      <w:tr>
        <w:tc>
          <w:tcPr>
            <w:tcW w:type="dxa" w:w="2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De 4 a menos de 6</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Moderado</w:t>
            </w:r>
          </w:p>
        </w:tc>
        <w:tc>
          <w:tcPr>
            <w:tcW w:type="dxa" w:w="2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7,0%</w:t>
            </w:r>
          </w:p>
        </w:tc>
        <w:tc>
          <w:tcPr>
            <w:tcW w:type="dxa" w:w="27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60% · 35% · 5%</w:t>
            </w:r>
          </w:p>
        </w:tc>
      </w:tr>
      <w:tr>
        <w:tc>
          <w:tcPr>
            <w:tcW w:type="dxa" w:w="2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De 6 a menos de 8</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Moderado agresivo</w:t>
            </w:r>
          </w:p>
        </w:tc>
        <w:tc>
          <w:tcPr>
            <w:tcW w:type="dxa" w:w="2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7,5%</w:t>
            </w:r>
          </w:p>
        </w:tc>
        <w:tc>
          <w:tcPr>
            <w:tcW w:type="dxa" w:w="27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77,5% · 17,5% · 5%</w:t>
            </w:r>
          </w:p>
        </w:tc>
      </w:tr>
      <w:tr>
        <w:tc>
          <w:tcPr>
            <w:tcW w:type="dxa" w:w="2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8 o más</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Agresivo</w:t>
            </w:r>
          </w:p>
        </w:tc>
        <w:tc>
          <w:tcPr>
            <w:tcW w:type="dxa" w:w="2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8,0%</w:t>
            </w:r>
          </w:p>
        </w:tc>
        <w:tc>
          <w:tcPr>
            <w:tcW w:type="dxa" w:w="27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95% · 0% · 5%</w:t>
            </w:r>
          </w:p>
        </w:tc>
      </w:tr>
    </w:tbl>
    <w:p>
      <w:pPr>
        <w:spacing w:after="120" w:line="300"/>
      </w:pPr>
      <w:r>
        <w:t>Si el puntaje del perfil de riesgo queda a menos de 0,4 puntos de un corte, el dashboard la marca como zona de frontera para confirmarla con el cliente. El perfil no cambia.</w:t>
      </w:r>
    </w:p>
    <w:p>
      <w:pPr>
        <w:pStyle w:val="Heading2"/>
      </w:pPr>
      <w:r>
        <w:t>1.5 Capacidad financiera</w:t>
      </w:r>
    </w:p>
    <w:p>
      <w:pPr>
        <w:spacing w:after="120" w:line="300"/>
      </w:pPr>
      <w:r>
        <w:t>Mide cuánto riesgo puede soportar el cliente, con independencia de cuánto quiere asumir. Se calcula con el flujo de los primeros cinco años de la proyección y con datos del cuestionario de planificación, en siete componentes que siguen la estructura de la hoja «Proyección»: ingresos, gastos, inversiones, desinversiones, tamaño del portafolio, reserva de liquidez y horizonte. Cubren lo que las directrices de idoneidad de MiFID II piden evaluar: ingresos, activos, compromisos financieros regulares y capacidad de soportar pérdidas (ESMA, 2022, párrafos 37 y 80). También siguen la guía del CFA Institute (2018), que mide la capacidad con los recursos del cliente frente a sus necesidades de gasto: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26"/>
      </w:tblGrid>
      <w:tr>
        <w:trPr>
          <w:tblHeader/>
        </w:trPr>
        <w:tc>
          <w:tcPr>
            <w:tcW w:type="dxa" w:w="19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Componente</w:t>
            </w:r>
          </w:p>
        </w:tc>
        <w:tc>
          <w:tcPr>
            <w:tcW w:type="dxa" w:w="37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Dato de la planificación</w:t>
            </w:r>
          </w:p>
        </w:tc>
        <w:tc>
          <w:tcPr>
            <w:tcW w:type="dxa" w:w="3426"/>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Fundamento</w:t>
            </w:r>
          </w:p>
        </w:tc>
      </w:tr>
      <w:tr>
        <w:tc>
          <w:tcPr>
            <w:tcW w:type="dxa" w:w="19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Ingresos totales</w:t>
            </w:r>
          </w:p>
        </w:tc>
        <w:tc>
          <w:tcPr>
            <w:tcW w:type="dxa" w:w="37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Ingresos totales / gastos totales de los primeros cinco años, promediado con la predictibilidad del ingreso (pregunta 2)</w:t>
            </w:r>
          </w:p>
        </w:tc>
        <w:tc>
          <w:tcPr>
            <w:tcW w:type="dxa" w:w="3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Ingresos regulares frente a los compromisos (ESMA, 2022); recursos propios para cubrir el gasto sin depender del portafolio (CFA Institute, 2018)</w:t>
            </w:r>
          </w:p>
        </w:tc>
      </w:tr>
      <w:tr>
        <w:tc>
          <w:tcPr>
            <w:tcW w:type="dxa" w:w="19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Gastos totales</w:t>
            </w:r>
          </w:p>
        </w:tc>
        <w:tc>
          <w:tcPr>
            <w:tcW w:type="dxa" w:w="37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Gastos comprometidos (cuotas de hipoteca y deudas y gastos de dependientes) / ingresos totales, cinco años</w:t>
            </w:r>
          </w:p>
        </w:tc>
        <w:tc>
          <w:tcPr>
            <w:tcW w:type="dxa" w:w="3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Compromisos financieros regulares (ESMA, 2022); razón de servicio de deuda con límite habitual de 36% (Greninger y otros, 1996)</w:t>
            </w:r>
          </w:p>
        </w:tc>
      </w:tr>
      <w:tr>
        <w:tc>
          <w:tcPr>
            <w:tcW w:type="dxa" w:w="19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Inversiones</w:t>
            </w:r>
          </w:p>
        </w:tc>
        <w:tc>
          <w:tcPr>
            <w:tcW w:type="dxa" w:w="37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Lo que entra al portafolio en cinco años (superávit invertido y ventas de activos) / capital inicial</w:t>
            </w:r>
          </w:p>
        </w:tc>
        <w:tc>
          <w:tcPr>
            <w:tcW w:type="dxa" w:w="3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Aportes futuros que permiten recuperar una pérdida (CFA Institute, 2018)</w:t>
            </w:r>
          </w:p>
        </w:tc>
      </w:tr>
      <w:tr>
        <w:tc>
          <w:tcPr>
            <w:tcW w:type="dxa" w:w="19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Desinversiones</w:t>
            </w:r>
          </w:p>
        </w:tc>
        <w:tc>
          <w:tcPr>
            <w:tcW w:type="dxa" w:w="37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Retiros del portafolio de cinco años (déficit, metas y primer retiro) / capital inicial</w:t>
            </w:r>
          </w:p>
        </w:tc>
        <w:tc>
          <w:tcPr>
            <w:tcW w:type="dxa" w:w="3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Restricción de liquidez (CFA Institute). Retirar 4% al año (Bengen, 1994) equivale a 20% en cinco años</w:t>
            </w:r>
          </w:p>
        </w:tc>
      </w:tr>
      <w:tr>
        <w:tc>
          <w:tcPr>
            <w:tcW w:type="dxa" w:w="19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Tamaño del portafolio</w:t>
            </w:r>
          </w:p>
        </w:tc>
        <w:tc>
          <w:tcPr>
            <w:tcW w:type="dxa" w:w="37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Portafolio actual / portafolio mínimo requerido con la cartera conservadora</w:t>
            </w:r>
          </w:p>
        </w:tc>
        <w:tc>
          <w:tcPr>
            <w:tcW w:type="dxa" w:w="3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Reserva frente a las necesidades: capacidad de soportar pérdidas sin comprometer el nivel de vida (ESMA, 2022; CFA Institute, 2018)</w:t>
            </w:r>
          </w:p>
        </w:tc>
      </w:tr>
      <w:tr>
        <w:tc>
          <w:tcPr>
            <w:tcW w:type="dxa" w:w="19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Reserva de liquidez</w:t>
            </w:r>
          </w:p>
        </w:tc>
        <w:tc>
          <w:tcPr>
            <w:tcW w:type="dxa" w:w="37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Meses de gasto que cubre la reserva de liquidez declarada (pregunta 11). No entra al flujo de caja</w:t>
            </w:r>
          </w:p>
        </w:tc>
        <w:tc>
          <w:tcPr>
            <w:tcW w:type="dxa" w:w="3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Liquidez para imprevistos sin vender el portafolio en un mal momento: reserva de 3 a 6 meses de gasto (Greninger y otros, 1996; CFA Institute, 2018)</w:t>
            </w:r>
          </w:p>
        </w:tc>
      </w:tr>
      <w:tr>
        <w:tc>
          <w:tcPr>
            <w:tcW w:type="dxa" w:w="19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Horizonte</w:t>
            </w:r>
          </w:p>
        </w:tc>
        <w:tc>
          <w:tcPr>
            <w:tcW w:type="dxa" w:w="37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Años hasta que el portafolio empieza a financiar gastos, metas o retiros (primer año con desinversión)</w:t>
            </w:r>
          </w:p>
        </w:tc>
        <w:tc>
          <w:tcPr>
            <w:tcW w:type="dxa" w:w="34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Horizonte de inversión (ESMA, 2022; CFA Institute, 2018)</w:t>
            </w:r>
          </w:p>
        </w:tc>
      </w:tr>
    </w:tbl>
    <w:p>
      <w:pPr>
        <w:spacing w:after="120" w:line="300"/>
      </w:pPr>
      <w:r>
        <w:t>Cada componente se puntúa en cuatro tramos (0; 3,33; 6,67 y 10), igual que las respuestas del cuestionario: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750"/>
        <w:gridCol w:w="1750"/>
        <w:gridCol w:w="1750"/>
        <w:gridCol w:w="1750"/>
      </w:tblGrid>
      <w:tr>
        <w:trPr>
          <w:tblHeader/>
        </w:trPr>
        <w:tc>
          <w:tcPr>
            <w:tcW w:type="dxa" w:w="2026"/>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Componente</w:t>
            </w:r>
          </w:p>
        </w:tc>
        <w:tc>
          <w:tcPr>
            <w:tcW w:type="dxa" w:w="175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0</w:t>
            </w:r>
          </w:p>
        </w:tc>
        <w:tc>
          <w:tcPr>
            <w:tcW w:type="dxa" w:w="175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3,33</w:t>
            </w:r>
          </w:p>
        </w:tc>
        <w:tc>
          <w:tcPr>
            <w:tcW w:type="dxa" w:w="175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6,67</w:t>
            </w:r>
          </w:p>
        </w:tc>
        <w:tc>
          <w:tcPr>
            <w:tcW w:type="dxa" w:w="175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10</w:t>
            </w:r>
          </w:p>
        </w:tc>
      </w:tr>
      <w:tr>
        <w:tc>
          <w:tcPr>
            <w:tcW w:type="dxa" w:w="20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Ingresos totales (cobertura)</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Menos de 50%</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50% a 79,9%</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80% a 99,9%</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100% o más</w:t>
            </w:r>
          </w:p>
        </w:tc>
      </w:tr>
      <w:tr>
        <w:tc>
          <w:tcPr>
            <w:tcW w:type="dxa" w:w="20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Gastos totales (comprometidos)</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36% o más</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20% a 35,9%</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10% a 19,9%</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Menos de 10%</w:t>
            </w:r>
          </w:p>
        </w:tc>
      </w:tr>
      <w:tr>
        <w:tc>
          <w:tcPr>
            <w:tcW w:type="dxa" w:w="20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Inversiones</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Sin entradas</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Hasta 9,9%</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10% a 24,9%</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25% o más</w:t>
            </w:r>
          </w:p>
        </w:tc>
      </w:tr>
      <w:tr>
        <w:tc>
          <w:tcPr>
            <w:tcW w:type="dxa" w:w="20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Desinversiones</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50% o más</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25% a 49,9%</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10% a 24,9%</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Menos de 10%</w:t>
            </w:r>
          </w:p>
        </w:tc>
      </w:tr>
      <w:tr>
        <w:tc>
          <w:tcPr>
            <w:tcW w:type="dxa" w:w="20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Tamaño del portafolio</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Menos de 1,00 vez</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1,00 a 1,24</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1,25 a 1,49</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1,50 o más</w:t>
            </w:r>
          </w:p>
        </w:tc>
      </w:tr>
      <w:tr>
        <w:tc>
          <w:tcPr>
            <w:tcW w:type="dxa" w:w="20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Reserva de liquidez</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Sin reserva</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Menos de 3 meses</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3 a 6 meses</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Más de 6 meses</w:t>
            </w:r>
          </w:p>
        </w:tc>
      </w:tr>
      <w:tr>
        <w:tc>
          <w:tcPr>
            <w:tcW w:type="dxa" w:w="20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Horizonte</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Menos de 5 años</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5 a 9 años</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10 a 14 años</w:t>
            </w:r>
          </w:p>
        </w:tc>
        <w:tc>
          <w:tcPr>
            <w:tcW w:type="dxa" w:w="17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15 años o más</w:t>
            </w:r>
          </w:p>
        </w:tc>
      </w:tr>
    </w:tbl>
    <w:p>
      <w:pPr>
        <w:shd w:fill="F4F5EE" w:color="auto" w:val="clear"/>
        <w:spacing w:after="120" w:before="60"/>
        <w:ind w:left="360"/>
      </w:pPr>
      <w:r>
        <w:rPr>
          <w:rFonts w:ascii="Consolas" w:cs="Consolas" w:eastAsia="Consolas" w:hAnsi="Consolas"/>
          <w:color w:val="2B3014"/>
          <w:sz w:val="19"/>
          <w:szCs w:val="19"/>
        </w:rPr>
        <w:t>Capacidad financiera = promedio simple de los componentes con dato (se necesitan al menos dos tercios de los componentes: 5 de 7)</w:t>
      </w:r>
    </w:p>
    <w:p>
      <w:pPr>
        <w:spacing w:after="120" w:line="300"/>
      </w:pPr>
      <w:r>
        <w:t>Se usan pesos iguales porque no hay datos propios para estimar otros; los pesos iguales son más robustos que pesos fijados a criterio (Dawes, 1979). Los tramos son supuestos del analista y se recalibran cuando haya historial de clientes.</w:t>
      </w:r>
    </w:p>
    <w:p>
      <w:pPr>
        <w:spacing w:after="120" w:line="300"/>
      </w:pPr>
      <w:r>
        <w:rPr>
          <w:b/>
          <w:bCs/>
        </w:rPr>
        <w:t>Datos faltantes. Cada componente se calcula solo si el cliente dio los datos que lo alimentan. Si no, queda «sin dato», se rotula así en el radar y en la ficha y no entra al promedio: no se supone ningún valor. Si menos de cinco de los siete componentes tienen dato, la capacidad no se mide, el perfil financiero queda igual al perfil de riesgo y el dashboard pide completar el cuestionario antes de proponer una cartera, como piden las directrices de ESMA (2022, párrafo 53) para la información incompleta. Si la pensión está por estimar, el componente de ingresos se marca como parcial. Los flujos se proyectan sin rendimiento y el tamaño del portafolio se mide con la cartera conservadora, así que la capacidad no depende del perfil que se asigne. El peso del portafolio en el patrimonio (pregunta 13) se muestra como dato de control y no entra al cálculo.</w:t>
      </w:r>
      <w:r/>
    </w:p>
    <w:p>
      <w:pPr>
        <w:spacing w:after="120" w:line="300"/>
      </w:pPr>
      <w:r>
        <w:t>Instituciones: horizonte de inversión declarado, estabilidad de los ingresos, peso del portafolio en sus activos y liquidez requerida (retiros netos de los primeros cinco años sobre el capital inicial). En familias, los cuestionarios anteriores a octubre de 2026 no pedían deudas ni gastos de dependientes, por lo que en ellos el componente de gastos queda sin dato.</w:t>
      </w:r>
    </w:p>
    <w:p>
      <w:pPr>
        <w:pStyle w:val="Heading2"/>
      </w:pPr>
      <w:r>
        <w:t>1.6 Conocimiento</w:t>
      </w:r>
    </w:p>
    <w:p>
      <w:pPr>
        <w:spacing w:after="120" w:line="300"/>
      </w:pPr>
      <w:r>
        <w:t>En familias, el conocimiento se mide con la pregunta 10 (alternativa única de inversión), que ya forma parte del perfil de riesgo; no se aplica otra vez. En instituciones se pregunta aparte y funciona como techo del perfil financiero: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Conocimiento declarado</w:t>
            </w:r>
          </w:p>
        </w:tc>
        <w:tc>
          <w:tcPr>
            <w:tcW w:type="dxa" w:w="40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Perfil máximo</w:t>
            </w:r>
          </w:p>
        </w:tc>
      </w:tr>
      <w:tr>
        <w:tc>
          <w:tcPr>
            <w:tcW w:type="dxa" w:w="50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Ninguno (0)</w:t>
            </w:r>
          </w:p>
        </w:tc>
        <w:tc>
          <w:tcPr>
            <w:tcW w:type="dxa" w:w="4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Conservador</w:t>
            </w:r>
          </w:p>
        </w:tc>
      </w:tr>
      <w:tr>
        <w:tc>
          <w:tcPr>
            <w:tcW w:type="dxa" w:w="50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Limitado (3,33)</w:t>
            </w:r>
          </w:p>
        </w:tc>
        <w:tc>
          <w:tcPr>
            <w:tcW w:type="dxa" w:w="4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Moderado</w:t>
            </w:r>
          </w:p>
        </w:tc>
      </w:tr>
      <w:tr>
        <w:tc>
          <w:tcPr>
            <w:tcW w:type="dxa" w:w="50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Bueno o extenso (6,67 o 10)</w:t>
            </w:r>
          </w:p>
        </w:tc>
        <w:tc>
          <w:tcPr>
            <w:tcW w:type="dxa" w:w="4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Sin límite</w:t>
            </w:r>
          </w:p>
        </w:tc>
      </w:tr>
    </w:tbl>
    <w:p>
      <w:pPr>
        <w:pStyle w:val="Heading2"/>
      </w:pPr>
      <w:r>
        <w:t>1.7 Perfil financiero</w:t>
      </w:r>
    </w:p>
    <w:p>
      <w:pPr>
        <w:shd w:fill="F4F5EE" w:color="auto" w:val="clear"/>
        <w:spacing w:after="120" w:before="60"/>
        <w:ind w:left="360"/>
      </w:pPr>
      <w:r>
        <w:rPr>
          <w:rFonts w:ascii="Consolas" w:cs="Consolas" w:eastAsia="Consolas" w:hAnsi="Consolas"/>
          <w:color w:val="2B3014"/>
          <w:sz w:val="19"/>
          <w:szCs w:val="19"/>
        </w:rPr>
        <w:t>Puntaje financiero = mínimo { puntaje del perfil de riesgo ; capacidad financiera }</w:t>
      </w:r>
    </w:p>
    <w:p>
      <w:pPr>
        <w:shd w:fill="F4F5EE" w:color="auto" w:val="clear"/>
        <w:spacing w:after="120" w:before="60"/>
        <w:ind w:left="360"/>
      </w:pPr>
      <w:r>
        <w:rPr>
          <w:rFonts w:ascii="Consolas" w:cs="Consolas" w:eastAsia="Consolas" w:hAnsi="Consolas"/>
          <w:color w:val="2B3014"/>
          <w:sz w:val="19"/>
          <w:szCs w:val="19"/>
        </w:rPr>
        <w:t>Perfil financiero = tramo del puntaje financiero, con el techo de conocimiento si lo hay</w:t>
      </w:r>
    </w:p>
    <w:p>
      <w:pPr>
        <w:spacing w:after="120" w:line="300"/>
      </w:pPr>
      <w:r>
        <w:t>El perfil de riesgo y la capacidad usan la misma escala de 0 a 10 y los mismos cortes, para que se puedan comparar directamente. Si el techo de conocimiento es más bajo, el puntaje financiero queda en el límite superior del tramo que permite ese techo.</w:t>
      </w:r>
    </w:p>
    <w:p>
      <w:pPr>
        <w:spacing w:after="120" w:line="300"/>
      </w:pPr>
      <w:r>
        <w:rPr>
          <w:b/>
          <w:bCs/>
        </w:rPr>
        <w:t xml:space="preserve">Ejemplo. </w:t>
      </w:r>
      <w:r>
        <w:t>Perfil de riesgo 6,9 (moderado agresivo) y capacidad 5,0 (moderado): el puntaje financiero es 5,0 y el perfil financiero es moderado. La planificación bajó el perfil por la capacidad financiera.</w:t>
      </w:r>
    </w:p>
    <w:p>
      <w:pPr>
        <w:pStyle w:val="Heading2"/>
      </w:pPr>
      <w:r>
        <w:t>1.8 Presentación de los resultados</w:t>
      </w:r>
    </w:p>
    <w:p>
      <w:pPr>
        <w:spacing w:after="120" w:line="300"/>
      </w:pPr>
      <w:r>
        <w:t>El dashboard, la ficha PDF, la presentación de PowerPoint y el Excel muestran las dos conclusiones por separado. El encabezado del dashboard tiene seis cuadros con la misma estructura (título, cifra y una línea de contexto): perfil de riesgo, perfil financiero, rendimiento esperado con su cartera modelo, portafolio mínimo requerido, tasa de retiro inicial y portafolio final en dólares de hoy.</w:t>
      </w:r>
    </w:p>
    <w:p>
      <w:pPr>
        <w:pStyle w:val="ListParagraph"/>
        <w:numPr>
          <w:ilvl w:val="0"/>
          <w:numId w:val="2"/>
        </w:numPr>
        <w:spacing w:after="60" w:line="290"/>
      </w:pPr>
      <w:r>
        <w:rPr>
          <w:b/>
          <w:bCs/>
        </w:rPr>
        <w:t xml:space="preserve">Perfil de riesgo: </w:t>
      </w:r>
      <w:r>
        <w:t>plano de tolerancia y apetito, barras de ambos, puntaje del perfil de riesgo y perfil de riesgo.</w:t>
      </w:r>
    </w:p>
    <w:p>
      <w:pPr>
        <w:pStyle w:val="ListParagraph"/>
        <w:numPr>
          <w:ilvl w:val="0"/>
          <w:numId w:val="2"/>
        </w:numPr>
        <w:spacing w:after="60" w:line="290"/>
      </w:pPr>
      <w:r>
        <w:rPr>
          <w:b/>
          <w:bCs/>
        </w:rPr>
        <w:t>Perfil financiero: radar con el perfil de riesgo y los siete componentes de la capacidad (la línea punteada es la capacidad; los componentes sin dato se rotulan «Sin dato»), barras del perfil de riesgo, la capacidad y sus componentes, puntaje financiero y perfil financiero, con una frase que dice si la planificación confirmó o bajó el perfil.</w:t>
      </w:r>
      <w:r/>
    </w:p>
    <w:p>
      <w:pPr>
        <w:pStyle w:val="Heading2"/>
      </w:pPr>
      <w:r>
        <w:t>1.9 Fundamento</w:t>
      </w:r>
    </w:p>
    <w:p>
      <w:pPr>
        <w:spacing w:after="120" w:line="300"/>
      </w:pPr>
      <w:r>
        <w:t>La tolerancia y el apetito miden la actitud ante el riesgo (Grable y Lytton, 1999). La capacidad financiera se mide aparte, con datos objetivos de la planificación, y solo puede bajar el perfil, como plantean Cordell (2001) y las directrices de idoneidad de MiFID II (ESMA, 2018): a un cliente no se le asigna más riesgo del que declara tolerar, aunque su patrimonio lo permita. Las preguntas no tienen opciones neutrales donde no aportan información, para evitar que respuestas indecisas lleven el promedio hacia el centro de la escala.</w:t>
      </w:r>
    </w:p>
    <w:p>
      <w:pPr>
        <w:spacing w:after="120" w:line="300"/>
      </w:pPr>
      <w:r>
        <w:rPr>
          <w:b/>
          <w:bCs/>
        </w:rPr>
        <w:t>Referencias. Bengen, W. (1994), Determining withdrawal rates using historical data, Journal of Financial Planning. Cordell, D. (2001), RiskPACK: How to evaluate risk tolerance, Journal of Financial Planning. Dawes, R. (1979), The robust beauty of improper linear models, American Psychologist. ESMA (2018), Guidelines on certain aspects of the MiFID II suitability requirements, ESMA35-43-869. Grable, J. y Lytton, R. (1999), Financial risk tolerance revisited, Financial Services Review. Ibbotson, R., Milevsky, M., Chen, P. y Zhu, K. (2007), Lifetime Financial Advice: Human Capital, Asset Allocation, and Insurance, CFA Institute Research Foundation. Maginn, J., Tuttle, D., Pinto, J. y McLeavey, D. (2007), Managing Investment Portfolios, CFA Institute. CFA Institute (2018), Investment risk profiling: a guide for financial advisors. ESMA (2022), Guidelines on certain aspects of the MiFID II suitability requirements, ESMA35-43-3172. Greninger, S., Hampton, V., Kitt, K. y Achacoso, J. (1996), Ratios and benchmarks for measuring the financial well-being of families and individuals, Financial Services Review 5(1).</w:t>
      </w:r>
      <w:r/>
    </w:p>
    <w:p>
      <w:pPr>
        <w:pStyle w:val="Heading1"/>
      </w:pPr>
      <w:r>
        <w:t>Parte 2. Metodología de la proyección</w:t>
      </w:r>
    </w:p>
    <w:p>
      <w:pPr>
        <w:spacing w:after="120" w:line="300"/>
      </w:pPr>
      <w:r>
        <w:t>La proyección es un flujo de caja anual en dólares: ingresos ordinarios, ingresos extraordinarios, gastos ordinarios y gastos extraordinarios. El resultado de cada año (flujo neto) se invierte en el portafolio si es positivo y se desinvierte si es negativo.</w:t>
      </w:r>
    </w:p>
    <w:p>
      <w:pPr>
        <w:pStyle w:val="Heading2"/>
      </w:pPr>
      <w:r>
        <w:t>2.1 Manual de preguntas: qué alimenta cada una</w:t>
      </w:r>
    </w:p>
    <w:p>
      <w:pPr>
        <w:spacing w:after="120" w:line="300"/>
      </w:pPr>
      <w:r>
        <w:t>El cuestionario de planificación sigue el orden de la hoja «Proyección»: ingresos ordinarios, ingresos extraordinarios, gastos ordinarios, gastos extraordinarios, inversiones y desinversiones; después, los retiros del portafolio. Las preguntas que intervienen en un cálculo son obligatorias y llevan asterisco; las descriptivas son opcionales. Las columnas son las de la hoja «Proyección».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50"/>
        <w:gridCol w:w="2300"/>
        <w:gridCol w:w="3276"/>
      </w:tblGrid>
      <w:tr>
        <w:trPr>
          <w:tblHeader/>
        </w:trPr>
        <w:tc>
          <w:tcPr>
            <w:tcW w:type="dxa" w:w="5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N.º</w:t>
            </w:r>
          </w:p>
        </w:tc>
        <w:tc>
          <w:tcPr>
            <w:tcW w:type="dxa" w:w="23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Pregunta</w:t>
            </w:r>
          </w:p>
        </w:tc>
        <w:tc>
          <w:tcPr>
            <w:tcW w:type="dxa" w:w="65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Oblig.</w:t>
            </w:r>
          </w:p>
        </w:tc>
        <w:tc>
          <w:tcPr>
            <w:tcW w:type="dxa" w:w="23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Bloque y columna del Excel</w:t>
            </w:r>
          </w:p>
        </w:tc>
        <w:tc>
          <w:tcPr>
            <w:tcW w:type="dxa" w:w="3276"/>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Cómo entra al cálculo</w:t>
            </w:r>
          </w:p>
        </w:tc>
      </w:tr>
      <w:tr>
        <w:tc>
          <w:tcPr>
            <w:tcW w:type="dxa" w:w="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Edad de independencia financiera</w:t>
            </w:r>
          </w:p>
        </w:tc>
        <w:tc>
          <w:tcPr>
            <w:tcW w:type="dxa" w:w="6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Sí</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Horizonte · F19, E (fase)</w:t>
            </w:r>
          </w:p>
        </w:tc>
        <w:tc>
          <w:tcPr>
            <w:tcW w:type="dxa" w:w="327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Separa acumulación y retiro: fin del ingreso por actividad y aplicación del gasto del retiro. No cambia el inicio de la pensión. Capacidad: horizonte.</w:t>
            </w:r>
          </w:p>
        </w:tc>
      </w:tr>
      <w:tr>
        <w:tc>
          <w:tcPr>
            <w:tcW w:type="dxa" w:w="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2</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Ingreso total mensual, hasta qué edad, de dónde proviene (varias fuentes) y qué tan predecible es</w:t>
            </w:r>
          </w:p>
        </w:tc>
        <w:tc>
          <w:tcPr>
            <w:tcW w:type="dxa" w:w="6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Sí</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Ingresos ordinarios · F</w:t>
            </w:r>
          </w:p>
        </w:tc>
        <w:tc>
          <w:tcPr>
            <w:tcW w:type="dxa" w:w="327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Ingreso mensual × 12 × índice mientras dure. No incluye el ingreso de la pareja, la pensión ni otros ingresos recurrentes. Perfil financiero: ingresos totales (con la predictibilidad) y gastos totales. Fuentes: salario, empresa propia y honorarios. Un pensionado sin otro ingreso escribe 0 y no marca fuente.</w:t>
            </w:r>
          </w:p>
        </w:tc>
      </w:tr>
      <w:tr>
        <w:tc>
          <w:tcPr>
            <w:tcW w:type="dxa" w:w="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3</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Planificación individual o conjunta; si es conjunta, edad e ingreso de la pareja y hasta qué edad lo recibirá</w:t>
            </w:r>
          </w:p>
        </w:tc>
        <w:tc>
          <w:tcPr>
            <w:tcW w:type="dxa" w:w="6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Sí</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Ingresos ordinarios · G; horizonte · M8, O8</w:t>
            </w:r>
          </w:p>
        </w:tc>
        <w:tc>
          <w:tcPr>
            <w:tcW w:type="dxa" w:w="327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Ingreso mensual de la pareja × 12 × índice hasta la edad indicada (si no la indica, hasta la independencia del cliente); se suma a los ingresos ordinarios. En la planificación conjunta el horizonte llega hasta la edad final del menor de los dos.</w:t>
            </w:r>
            <w:r>
              <w:rPr>
                <w:sz w:val="19"/>
              </w:rPr>
            </w:r>
          </w:p>
        </w:tc>
      </w:tr>
      <w:tr>
        <w:tc>
          <w:tcPr>
            <w:tcW w:type="dxa" w:w="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4</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Pensión y otros ingresos recurrentes adicionales a los del portafolio, con año de inicio y de fin</w:t>
            </w:r>
          </w:p>
        </w:tc>
        <w:tc>
          <w:tcPr>
            <w:tcW w:type="dxa" w:w="6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Sí</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Ingresos ordinarios · J y H; F20 y F21</w:t>
            </w:r>
          </w:p>
        </w:tc>
        <w:tc>
          <w:tcPr>
            <w:tcW w:type="dxa" w:w="327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Pensión desde el año en que cumple su edad de inicio (F20), sin importar la independencia; ese año, los meses después del cumpleaños (F21). Otros ingresos desde hoy o desde el año indicado, hasta el año de fin que indique el cliente.</w:t>
            </w:r>
            <w:r>
              <w:rPr>
                <w:sz w:val="19"/>
              </w:rPr>
            </w:r>
            <w:r>
              <w:rPr>
                <w:sz w:val="19"/>
              </w:rPr>
            </w:r>
          </w:p>
        </w:tc>
      </w:tr>
      <w:tr>
        <w:tc>
          <w:tcPr>
            <w:tcW w:type="dxa" w:w="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5</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ROP, FCL y pensión voluntaria, con su operadora</w:t>
            </w:r>
          </w:p>
        </w:tc>
        <w:tc>
          <w:tcPr>
            <w:tcW w:type="dxa" w:w="6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Sí</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Ingresos ordinarios · K y L; ingresos extraordinarios · O</w:t>
            </w:r>
          </w:p>
        </w:tc>
        <w:tc>
          <w:tcPr>
            <w:tcW w:type="dxa" w:w="327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El ROP (K) y la pensión voluntaria (L) se reciben como pensión desde la edad de pensión. El FCL se traslada al portafolio en su año (O). La operadora es descriptiva.</w:t>
            </w:r>
            <w:r>
              <w:rPr>
                <w:sz w:val="19"/>
              </w:rPr>
            </w:r>
          </w:p>
        </w:tc>
      </w:tr>
      <w:tr>
        <w:tc>
          <w:tcPr>
            <w:tcW w:type="dxa" w:w="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6</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Ingresos extraordinarios, numerados y con nombre</w:t>
            </w:r>
          </w:p>
        </w:tc>
        <w:tc>
          <w:tcPr>
            <w:tcW w:type="dxa" w:w="6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Sí</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Ingresos extraordinarios · N</w:t>
            </w:r>
          </w:p>
        </w:tc>
        <w:tc>
          <w:tcPr>
            <w:tcW w:type="dxa" w:w="327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Monto × índice en el año indicado. En el Excel cada uno conserva su número y su nombre (tabla «Ingresos extraordinarios», debajo de la proyección). Sin límite de cantidad.</w:t>
            </w:r>
          </w:p>
        </w:tc>
      </w:tr>
      <w:tr>
        <w:tc>
          <w:tcPr>
            <w:tcW w:type="dxa" w:w="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7</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Gasto familiar mensual y porcentaje en el retiro</w:t>
            </w:r>
            <w:r>
              <w:rPr>
                <w:sz w:val="19"/>
              </w:rPr>
              <w:t xml:space="preserve"> y porcentaje pagado en dólares</w:t>
            </w:r>
          </w:p>
        </w:tc>
        <w:tc>
          <w:tcPr>
            <w:tcW w:type="dxa" w:w="6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Sí</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Gastos ordinarios · R</w:t>
            </w:r>
          </w:p>
        </w:tc>
        <w:tc>
          <w:tcPr>
            <w:tcW w:type="dxa" w:w="327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Gasto × 12 × (parte en dólares × índice en dólares + parte en colones × índice en colones); desde la independencia, × el porcentaje declarado (F18). El cliente indica qué porcentaje paga en dólares y el cuestionario muestra el resto en colones: la parte en dólares crece con la inflación internacional y la de colones con la local, así que la inflación local se usa siempre que haya gasto en colones. No incluye la cuota de la hipoteca, donaciones ni los gastos de la pregunta 9; las cuotas de deudas, según la pregunta 11.</w:t>
            </w:r>
            <w:r>
              <w:rPr>
                <w:sz w:val="19"/>
              </w:rPr>
            </w:r>
            <w:r>
              <w:rPr>
                <w:sz w:val="19"/>
              </w:rPr>
            </w:r>
          </w:p>
        </w:tc>
      </w:tr>
      <w:tr>
        <w:tc>
          <w:tcPr>
            <w:tcW w:type="dxa" w:w="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8</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Personas que dependen del cliente (hijos y otros familiares)</w:t>
            </w:r>
          </w:p>
        </w:tc>
        <w:tc>
          <w:tcPr>
            <w:tcW w:type="dxa" w:w="6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No</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Descriptiva</w:t>
            </w:r>
          </w:p>
        </w:tc>
        <w:tc>
          <w:tcPr>
            <w:tcW w:type="dxa" w:w="327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Dato informativo: el costo de esas personas está en el gasto familiar (pregunta 7) o en la pregunta 9.</w:t>
            </w:r>
          </w:p>
        </w:tc>
      </w:tr>
      <w:tr>
        <w:tc>
          <w:tcPr>
            <w:tcW w:type="dxa" w:w="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9</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Gastos de dependientes no incluidos en el gasto familiar</w:t>
            </w:r>
          </w:p>
        </w:tc>
        <w:tc>
          <w:tcPr>
            <w:tcW w:type="dxa" w:w="6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Sí</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Gastos ordinarios · S</w:t>
            </w:r>
          </w:p>
        </w:tc>
        <w:tc>
          <w:tcPr>
            <w:tcW w:type="dxa" w:w="327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Monto anual × índice durante los años indicados. Parentesco: hijo o hija, padre o madre, otro familiar u otro. Sin límite de cantidad.</w:t>
            </w:r>
            <w:r>
              <w:rPr>
                <w:sz w:val="19"/>
              </w:rPr>
            </w:r>
          </w:p>
        </w:tc>
      </w:tr>
      <w:tr>
        <w:tc>
          <w:tcPr>
            <w:tcW w:type="dxa" w:w="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10</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Donaciones al año</w:t>
            </w:r>
          </w:p>
        </w:tc>
        <w:tc>
          <w:tcPr>
            <w:tcW w:type="dxa" w:w="6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Sí</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Gastos ordinarios · T</w:t>
            </w:r>
          </w:p>
        </w:tc>
        <w:tc>
          <w:tcPr>
            <w:tcW w:type="dxa" w:w="327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Monto anual (V10) × índice, todos los años.</w:t>
            </w:r>
          </w:p>
        </w:tc>
      </w:tr>
      <w:tr>
        <w:tc>
          <w:tcPr>
            <w:tcW w:type="dxa" w:w="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11</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Deudas o pasivos, una por una, y reserva de liquidez</w:t>
            </w:r>
          </w:p>
        </w:tc>
        <w:tc>
          <w:tcPr>
            <w:tcW w:type="dxa" w:w="6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Sí</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Gastos ordinarios · U</w:t>
            </w:r>
          </w:p>
        </w:tc>
        <w:tc>
          <w:tcPr>
            <w:tcW w:type="dxa" w:w="327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Cuota mensual × 12 de cada deuda hasta el año en que termina, sin indexar (hoja «Gastos»). El cliente indica si esas cuotas ya están en su gasto familiar: si es así, no se suman de nuevo. Sin límite de cantidad. Perfil financiero: gastos totales; la reserva de liquidez es un componente aparte.</w:t>
            </w:r>
          </w:p>
        </w:tc>
      </w:tr>
      <w:tr>
        <w:tc>
          <w:tcPr>
            <w:tcW w:type="dxa" w:w="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12</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Gastos extraordinarios, numerados, con nombre, año y frecuencia</w:t>
            </w:r>
          </w:p>
        </w:tc>
        <w:tc>
          <w:tcPr>
            <w:tcW w:type="dxa" w:w="6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Sí</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Gastos extraordinarios · W</w:t>
            </w:r>
          </w:p>
        </w:tc>
        <w:tc>
          <w:tcPr>
            <w:tcW w:type="dxa" w:w="327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Monto × índice en su año, o cada año desde ese año (tabla «Gastos extraordinarios»). Sin límite de cantidad.</w:t>
            </w:r>
          </w:p>
        </w:tc>
      </w:tr>
      <w:tr>
        <w:tc>
          <w:tcPr>
            <w:tcW w:type="dxa" w:w="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13</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Monto del portafolio y porcentaje del patrimonio</w:t>
            </w:r>
          </w:p>
        </w:tc>
        <w:tc>
          <w:tcPr>
            <w:tcW w:type="dxa" w:w="6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Sí</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Inversiones · AE7 (capital inicial); portafolio · AG (año 1)</w:t>
            </w:r>
          </w:p>
        </w:tc>
        <w:tc>
          <w:tcPr>
            <w:tcW w:type="dxa" w:w="327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Capital inicial. Perfil financiero: tamaño del portafolio, inversiones y desinversiones. Patrimonio total. El dashboard calcula además el peso del portafolio con los activos declarados, como dato de control; no interviene en la proyección.</w:t>
            </w:r>
            <w:r>
              <w:rPr>
                <w:sz w:val="19"/>
              </w:rPr>
            </w:r>
          </w:p>
        </w:tc>
      </w:tr>
      <w:tr>
        <w:tc>
          <w:tcPr>
            <w:tcW w:type="dxa" w:w="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14</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Vivienda e inmuebles de inversión</w:t>
            </w:r>
          </w:p>
        </w:tc>
        <w:tc>
          <w:tcPr>
            <w:tcW w:type="dxa" w:w="6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Sí</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Ingresos ordinarios · I; gastos ordinarios · U; desinversiones · AB</w:t>
            </w:r>
          </w:p>
        </w:tc>
        <w:tc>
          <w:tcPr>
            <w:tcW w:type="dxa" w:w="327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Alquiler hasta el año anterior a la venta; cuota de la hipoteca mientras dure el plazo; (valor − deuda) × porcentaje que invierte, en el año de la venta. «Sujeto a análisis» no se proyecta. Sin límite de cantidad de inmuebles.</w:t>
            </w:r>
          </w:p>
        </w:tc>
      </w:tr>
      <w:tr>
        <w:tc>
          <w:tcPr>
            <w:tcW w:type="dxa" w:w="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15</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Empresa propia y su participación</w:t>
            </w:r>
          </w:p>
        </w:tc>
        <w:tc>
          <w:tcPr>
            <w:tcW w:type="dxa" w:w="6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Sí</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Desinversiones · AC</w:t>
            </w:r>
          </w:p>
        </w:tc>
        <w:tc>
          <w:tcPr>
            <w:tcW w:type="dxa" w:w="327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Valor × participación × porcentaje que invierte, en el año de la venta. Patrimonio total.</w:t>
            </w:r>
          </w:p>
        </w:tc>
      </w:tr>
      <w:tr>
        <w:tc>
          <w:tcPr>
            <w:tcW w:type="dxa" w:w="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16</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Capital privado y porcentaje de participación</w:t>
            </w:r>
          </w:p>
        </w:tc>
        <w:tc>
          <w:tcPr>
            <w:tcW w:type="dxa" w:w="6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No</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Patrimonio total</w:t>
            </w:r>
          </w:p>
        </w:tc>
        <w:tc>
          <w:tcPr>
            <w:tcW w:type="dxa" w:w="327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Valor × participación. No interviene en la proyección.</w:t>
            </w:r>
          </w:p>
        </w:tc>
      </w:tr>
      <w:tr>
        <w:tc>
          <w:tcPr>
            <w:tcW w:type="dxa" w:w="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17</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Venta de otros activos</w:t>
            </w:r>
          </w:p>
        </w:tc>
        <w:tc>
          <w:tcPr>
            <w:tcW w:type="dxa" w:w="6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Sí</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Desinversiones · AD</w:t>
            </w:r>
          </w:p>
        </w:tc>
        <w:tc>
          <w:tcPr>
            <w:tcW w:type="dxa" w:w="327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Monto × índice en el año de la venta. No incluye el capital privado de la pregunta 16. Sin límite de cantidad.</w:t>
            </w:r>
            <w:r>
              <w:rPr>
                <w:sz w:val="19"/>
              </w:rPr>
            </w:r>
          </w:p>
        </w:tc>
      </w:tr>
      <w:tr>
        <w:tc>
          <w:tcPr>
            <w:tcW w:type="dxa" w:w="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18</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Retiro del portafolio distinto de las metas</w:t>
            </w:r>
          </w:p>
        </w:tc>
        <w:tc>
          <w:tcPr>
            <w:tcW w:type="dxa" w:w="6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No</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Descriptiva (horizonte)</w:t>
            </w:r>
          </w:p>
        </w:tc>
        <w:tc>
          <w:tcPr>
            <w:tcW w:type="dxa" w:w="327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No entra al flujo: el dinero que sale del portafolio ya está en los gastos y las metas. Perfil financiero: horizonte.</w:t>
            </w:r>
          </w:p>
        </w:tc>
      </w:tr>
      <w:tr>
        <w:tc>
          <w:tcPr>
            <w:tcW w:type="dxa" w:w="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19</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Metas y cómo se financian</w:t>
            </w:r>
          </w:p>
        </w:tc>
        <w:tc>
          <w:tcPr>
            <w:tcW w:type="dxa" w:w="6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Sí</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Inversiones (gastos extraordinarios) · X</w:t>
            </w:r>
          </w:p>
        </w:tc>
        <w:tc>
          <w:tcPr>
            <w:tcW w:type="dxa" w:w="327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Solo las metas pagadas con una salida del portafolio, como gasto extraordinario de su año. Las financiadas con crédito no se restan; su cuota va en la pregunta 11.</w:t>
            </w:r>
          </w:p>
        </w:tc>
      </w:tr>
      <w:tr>
        <w:tc>
          <w:tcPr>
            <w:tcW w:type="dxa" w:w="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20</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Destino del patrimonio</w:t>
            </w:r>
          </w:p>
        </w:tc>
        <w:tc>
          <w:tcPr>
            <w:tcW w:type="dxa" w:w="6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Sí</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Resultado</w:t>
            </w:r>
          </w:p>
        </w:tc>
        <w:tc>
          <w:tcPr>
            <w:tcW w:type="dxa" w:w="327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La herencia, en dólares de hoy, es el saldo mínimo del rendimiento de equilibrio y de «¿alcanza el plan?».</w:t>
            </w:r>
          </w:p>
        </w:tc>
      </w:tr>
      <w:tr>
        <w:tc>
          <w:tcPr>
            <w:tcW w:type="dxa" w:w="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21</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Seguros vigentes</w:t>
            </w:r>
          </w:p>
        </w:tc>
        <w:tc>
          <w:tcPr>
            <w:tcW w:type="dxa" w:w="6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No</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Descriptiva</w:t>
            </w:r>
          </w:p>
        </w:tc>
        <w:tc>
          <w:tcPr>
            <w:tcW w:type="dxa" w:w="327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No interviene.</w:t>
            </w:r>
          </w:p>
        </w:tc>
      </w:tr>
      <w:tr>
        <w:tc>
          <w:tcPr>
            <w:tcW w:type="dxa" w:w="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22</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Proporción en dólares y colones</w:t>
            </w:r>
          </w:p>
        </w:tc>
        <w:tc>
          <w:tcPr>
            <w:tcW w:type="dxa" w:w="6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No</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Descriptiva</w:t>
            </w:r>
          </w:p>
        </w:tc>
        <w:tc>
          <w:tcPr>
            <w:tcW w:type="dxa" w:w="327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No interviene.</w:t>
            </w:r>
          </w:p>
        </w:tc>
      </w:tr>
      <w:tr>
        <w:tc>
          <w:tcPr>
            <w:tcW w:type="dxa" w:w="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23</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Estructuras jurídicas</w:t>
            </w:r>
          </w:p>
        </w:tc>
        <w:tc>
          <w:tcPr>
            <w:tcW w:type="dxa" w:w="6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No</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Diagnóstico operativo y fiscal</w:t>
            </w:r>
          </w:p>
        </w:tc>
        <w:tc>
          <w:tcPr>
            <w:tcW w:type="dxa" w:w="327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No interviene.</w:t>
            </w:r>
          </w:p>
        </w:tc>
      </w:tr>
      <w:tr>
        <w:tc>
          <w:tcPr>
            <w:tcW w:type="dxa" w:w="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24</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Comentarios</w:t>
            </w:r>
          </w:p>
        </w:tc>
        <w:tc>
          <w:tcPr>
            <w:tcW w:type="dxa" w:w="65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No</w:t>
            </w:r>
          </w:p>
        </w:tc>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Descriptiva</w:t>
            </w:r>
          </w:p>
        </w:tc>
        <w:tc>
          <w:tcPr>
            <w:tcW w:type="dxa" w:w="327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No interviene.</w:t>
            </w:r>
          </w:p>
        </w:tc>
      </w:tr>
    </w:tbl>
    <w:p>
      <w:pPr>
        <w:spacing w:after="120" w:line="300"/>
      </w:pPr>
      <w:r>
        <w:rPr>
          <w:b/>
          <w:bCs/>
        </w:rPr>
        <w:t xml:space="preserve">Cómo se unen las preguntas de un mismo bloque. </w:t>
      </w:r>
      <w:r>
        <w:t>Cada pregunta alimenta una sola columna, y ninguna cifra se pide dos veces:</w:t>
      </w:r>
    </w:p>
    <w:p>
      <w:pPr>
        <w:pStyle w:val="ListParagraph"/>
        <w:numPr>
          <w:ilvl w:val="0"/>
          <w:numId w:val="2"/>
        </w:numPr>
        <w:spacing w:after="60" w:line="290"/>
      </w:pPr>
      <w:r>
        <w:rPr>
          <w:b/>
          <w:bCs/>
        </w:rPr>
        <w:t>Ingresos totales (P) = ingresos ordinarios (L = F + G + H + I + J + K) + ingresos extraordinarios (O = M + N). G es el ingreso de la pareja, cuando la planificación es conjunta; el ingreso total del cliente (F) no lo incluye.</w:t>
      </w:r>
      <w:r/>
    </w:p>
    <w:p>
      <w:pPr>
        <w:pStyle w:val="ListParagraph"/>
        <w:numPr>
          <w:ilvl w:val="0"/>
          <w:numId w:val="2"/>
        </w:numPr>
        <w:spacing w:after="60" w:line="290"/>
      </w:pPr>
      <w:r>
        <w:rPr>
          <w:b/>
          <w:bCs/>
        </w:rPr>
        <w:t>Gastos totales (W) = gastos ordinarios (U = Q + R + S + T) + gastos extraordinarios (V). El gasto familiar excluye las cuotas, las donaciones y los gastos de dependientes de la pregunta 9, que se suman aparte.</w:t>
      </w:r>
      <w:r/>
    </w:p>
    <w:p>
      <w:pPr>
        <w:pStyle w:val="ListParagraph"/>
        <w:numPr>
          <w:ilvl w:val="0"/>
          <w:numId w:val="2"/>
        </w:numPr>
        <w:spacing w:after="60" w:line="290"/>
      </w:pPr>
      <w:r>
        <w:rPr>
          <w:b/>
          <w:bCs/>
        </w:rPr>
        <w:t>Flujo neto (AA) = Q − Z: ingresos menos gastos. Las metas pagadas con el portafolio van en la columna Inversiones (X) y suman en el total de salidas (Y), en el año de cada meta.</w:t>
      </w:r>
      <w:r/>
    </w:p>
    <w:p>
      <w:pPr>
        <w:pStyle w:val="ListParagraph"/>
        <w:numPr>
          <w:ilvl w:val="0"/>
          <w:numId w:val="2"/>
        </w:numPr>
        <w:spacing w:after="60" w:line="290"/>
      </w:pPr>
      <w:r>
        <w:rPr>
          <w:b/>
          <w:bCs/>
        </w:rPr>
        <w:t>Flujo neto de inversiones (AF) = desinversiones (AE = AB + AC + AD): el dinero de la venta de activos que entra al portafolio. En el bloque Portafolio, el flujo neto (AI) = AA + AF: entra al portafolio si es positivo y sale de él si es negativo. Portafolio final (AJ) = inicial + rendimiento + flujo neto + gasto no cubierto (AN, última columna): el portafolio no baja de cero y el gasto no cubierto es lo que ya no alcanza a pagar.</w:t>
      </w:r>
      <w:r/>
    </w:p>
    <w:p>
      <w:pPr>
        <w:pStyle w:val="ListParagraph"/>
        <w:numPr>
          <w:ilvl w:val="0"/>
          <w:numId w:val="2"/>
        </w:numPr>
        <w:spacing w:after="60" w:line="290"/>
      </w:pPr>
      <w:r>
        <w:rPr>
          <w:b/>
          <w:bCs/>
        </w:rPr>
        <w:t>El primer retiro del portafolio (pregunta 18) no entra al flujo: es un dato del horizonte de la inversión. El dinero que sale del portafolio ya está en los gastos y en las metas; sumarlo lo contaría dos veces. Por la misma razón, si el cliente indica que las cuotas de sus deudas ya están en el gasto familiar, no se suman de nuevo.</w:t>
      </w:r>
      <w:r/>
    </w:p>
    <w:p>
      <w:pPr>
        <w:spacing w:after="120" w:line="300"/>
      </w:pPr>
      <w:r>
        <w:t>Pensiones. La pensión del régimen básico (IVM u otro), la del ROP y la pensión voluntaria empiezan en el año en que el cliente cumple la edad de pensión (la que indicó o, si no la indicó, la del asesor), sin importar la edad de independencia financiera: la independencia puede ser posterior porque el cliente tiene otros ingresos. Ese primer año se pagan solo los meses que siguen al cumpleaños: (12 − mes de nacimiento) / 12 del monto anual. La edad de cada año de la proyección es la que el cliente cumple ese año (año − año de nacimiento). Los cuestionarios llenados antes de octubre de 2026 no pedían alquileres, cuotas con plazo ni gastos extraordinarios: para ellos esas líneas quedan en cero hasta que se editen.</w:t>
      </w:r>
    </w:p>
    <w:p>
      <w:pPr>
        <w:pStyle w:val="Heading2"/>
      </w:pPr>
      <w:r>
        <w:t>2.2 Estructura del Excel</w:t>
      </w:r>
    </w:p>
    <w:p>
      <w:pPr>
        <w:pStyle w:val="ListParagraph"/>
        <w:numPr>
          <w:ilvl w:val="0"/>
          <w:numId w:val="2"/>
        </w:numPr>
        <w:spacing w:after="60" w:line="290"/>
      </w:pPr>
      <w:r>
        <w:rPr>
          <w:b/>
          <w:bCs/>
        </w:rPr>
        <w:t>Cliente: en las columnas B a E, el perfil de riesgo, el perfil financiero, las carteras asignada y de equilibrio y los resultados de la proyección, seguidos de los datos declarados, el patrimonio total y los supuestos; desde la columna G, los gráficos, separados de los datos.</w:t>
      </w:r>
      <w:r/>
    </w:p>
    <w:p>
      <w:pPr>
        <w:pStyle w:val="ListParagraph"/>
        <w:numPr>
          <w:ilvl w:val="0"/>
          <w:numId w:val="2"/>
        </w:numPr>
        <w:spacing w:after="60" w:line="290"/>
      </w:pPr>
      <w:r>
        <w:rPr>
          <w:b/>
          <w:bCs/>
        </w:rPr>
        <w:t>Proyección: título y nota en las filas 1 y 2. Desde la fila 4, cinco bloques con su título, separados por una columna en blanco: supuestos (B:G; en la columna F el valor que usa la proyección y en la G su origen: asesor, perfil de riesgo, cuestionario o no aplica), ingresos ordinarios y extraordinarios (I:P), gastos ordinarios y extraordinarios (R:X), inversiones y desinversiones (Z:AE) y el resumen del plan (AG:AO). Los bloques de ingresos, gastos, inversiones y desinversiones enlazan las hojas de detalle. Las celdas color crema son insumos editables. Después de los supuestos quedan dos filas en blanco; desde la fila 26, la proyección anual: banda, bloques y encabezados, y una fila por año desde la 29.</w:t>
      </w:r>
      <w:r/>
    </w:p>
    <w:p>
      <w:pPr>
        <w:pStyle w:val="ListParagraph"/>
        <w:numPr>
          <w:ilvl w:val="0"/>
          <w:numId w:val="2"/>
        </w:numPr>
        <w:spacing w:after="60" w:line="290"/>
      </w:pPr>
      <w:r>
        <w:rPr>
          <w:b/>
          <w:bCs/>
        </w:rPr>
        <w:t>Ingresos, Gastos, Inversiones y Desinversiones: una fila por elemento, como lo declaró el cliente: monto declarado, moneda, tipo de cambio aplicado (el de la celda F7 de la hoja Proyección para los colones y 1 para los dólares) y monto en dólares = monto declarado / tipo de cambio. Así se ve cómo se dolariza cada monto antes de entrar a la proyección. Cada lista termina con filas libres para agregar elementos, el total de la sección y los totales de la proyección en dólares nominales. Las ventas de inmuebles con valor y deuda en monedas distintas tienen su detalle: valor y deuda en dólares, porcentaje que se invierte y monto que entra. Las demás inversiones del patrimonio (inmuebles, empresa, capital privado y fondos de pensión) se muestran como información y no entran a la proyección.</w:t>
      </w:r>
      <w:r/>
    </w:p>
    <w:p>
      <w:pPr>
        <w:pStyle w:val="ListParagraph"/>
        <w:numPr>
          <w:ilvl w:val="0"/>
          <w:numId w:val="2"/>
        </w:numPr>
        <w:spacing w:after="60" w:line="290"/>
      </w:pPr>
      <w:r>
        <w:rPr>
          <w:b/>
          <w:bCs/>
        </w:rPr>
        <w:t>Supuestos: la columna F lleva exactamente los valores que fijó el asesor en el dashboard y los que dio el cliente en el cuestionario, sin valores agregados: tipo de cambio e inflaciones (F7 a F12), rendimiento esperado del perfil (F13), rendimiento de los fondos de pensión (F14), aporte estimado al ROP y al FCL (F15 y F16), gasto en el retiro (F18), años hasta la independencia (F19) y edad de inicio de la pensión (F20), mes de nacimiento (F21) y la parte del gasto familiar pagada en dólares (F22) y en colones (F23 = 100% − F22). Ninguna fórmula lleva un supuesto escrito como número fijo: todas leen estas celdas, también la hoja Fondos de pensión, de modo que al cambiar un supuesto el Excel se recalcula completo. Un supuesto que no aplica al cliente aparece como N/A y no entra a ningún cálculo.</w:t>
      </w:r>
      <w:r/>
    </w:p>
    <w:p>
      <w:pPr>
        <w:pStyle w:val="ListParagraph"/>
        <w:numPr>
          <w:ilvl w:val="0"/>
          <w:numId w:val="2"/>
        </w:numPr>
        <w:spacing w:after="60" w:line="290"/>
      </w:pPr>
      <w:r>
        <w:rPr>
          <w:b/>
          <w:bCs/>
        </w:rPr>
        <w:t>Fondos de pensión: evolución del ROP, el FCL y la pensión voluntaria; su rendimiento (E5), el crecimiento de los aportes (E6 y E10) y los años de aportes (E7) se enlazan con la hoja Proyección; quedan fijas las columnas de período y año, y las filas se desplazan libremente.</w:t>
      </w:r>
      <w:r/>
    </w:p>
    <w:p>
      <w:pPr>
        <w:pStyle w:val="ListParagraph"/>
        <w:numPr>
          <w:ilvl w:val="0"/>
          <w:numId w:val="2"/>
        </w:numPr>
        <w:spacing w:after="60" w:line="290"/>
      </w:pPr>
      <w:r>
        <w:rPr>
          <w:b/>
          <w:bCs/>
        </w:rPr>
        <w:t xml:space="preserve">Datos: </w:t>
      </w:r>
      <w:r>
        <w:t>insumos de los gráficos (perfil de riesgo, capacidad financiera, carteras y equilibrio).</w:t>
      </w:r>
    </w:p>
    <w:p>
      <w:pPr>
        <w:spacing w:after="120" w:line="300"/>
      </w:pPr>
      <w:r>
        <w:t>Los montos se declaran en valor de hoy y se llevan al año t con el índice (1 + inflación)^(t − 1), usando la inflación de la moneda en que se declaró cada monto: la inflación local (Costa Rica) para los montos en colones y la internacional (EE. UU.) para los montos en dólares. Los términos reales del portafolio se calculan con la inflación internacional, porque el portafolio está en dólares. Cada monto se declara con su moneda (USD o CRC). El Excel registra el monto declarado y su moneda y, a la par, el monto en dólares con la fórmula monto / tipo de cambio (F7) cuando es en colones. El tipo de cambio se mantiene constante en el horizonte.</w:t>
      </w:r>
    </w:p>
    <w:p>
      <w:pPr>
        <w:spacing w:after="120" w:line="300"/>
      </w:pPr>
      <w:r>
        <w:rPr>
          <w:b/>
          <w:bCs/>
        </w:rPr>
        <w:t xml:space="preserve">Patrimonio total. </w:t>
      </w:r>
      <w:r>
        <w:t>Inversiones líquidas (este portafolio) + fondos de pensión + inmuebles de inversión + empresa (según la participación) + capital privado, menos la hipoteca, la deuda de los inmuebles y las otras deudas. No incluye la vivienda principal, cuyo valor no se pide.</w:t>
      </w:r>
    </w:p>
    <w:p>
      <w:pPr>
        <w:pStyle w:val="Heading2"/>
      </w:pPr>
      <w:r>
        <w:t>2.3 Columnas y fórmulas de la hoja «Proyección»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26"/>
      </w:tblGrid>
      <w:tr>
        <w:trPr>
          <w:tblHeader/>
        </w:trPr>
        <w:tc>
          <w:tcPr>
            <w:tcW w:type="dxa" w:w="23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Bloque</w:t>
            </w:r>
          </w:p>
        </w:tc>
        <w:tc>
          <w:tcPr>
            <w:tcW w:type="dxa" w:w="26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Columna</w:t>
            </w:r>
          </w:p>
        </w:tc>
        <w:tc>
          <w:tcPr>
            <w:tcW w:type="dxa" w:w="4126"/>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Fórmula del año t</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Ingresos ordinarios</w:t>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F Ingreso total</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Ingreso mensual × 12 × índice, mientras dure</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G Ingreso de la pareja</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Ingreso mensual de la pareja × 12 × índice, hasta la edad indicada (solo en la planificación conjunta)</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H Otros ingresos recurrentes</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Monto mensual × 12 × índice, desde su período de inicio hasta su período de fin</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 Alquileres</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Alquiler mensual × 12 × índice, hasta el año anterior a la venta</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J Pensión IVM (o del régimen del cliente)</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Pensión × 12 desde el año en que el cliente cumple la edad de pensión (F20); ese año × (12 − F21) / 12. Inflación de su moneda hasta el primer pago y de la pensión del IVM después</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K Pensión del ROP · L Pensión voluntaria</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Hoja «Fondos de pensión», desde la edad de pensión</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 Total</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F + G + H + I + J + K + L</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Ingresos extraordinarios</w:t>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N Ingresos extraordinarios · O Traslado del FCL</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Monto × índice en su año · hoja «Fondos de pensión»</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P Total</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N + O</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Ingresos totales</w:t>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Q</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 + P</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Gastos ordinarios</w:t>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R Gasto familiar</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Gasto mensual × 12 × (F22 × índice en dólares + F23 × índice en colones); en el retiro × porcentaje (F18)</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 Dependientes</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Gasto anual × índice en los años indicados</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T Donaciones</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Monto anual × índice</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U Cuotas</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Hipoteca y cada deuda: cuota mensual × 12 hasta que termina (las de deudas, solo si no están ya en el gasto familiar)</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V Total</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R + S + T + U</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Gastos extraordinarios</w:t>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W Gastos extraordinarios · X Inversiones</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Cada gasto × índice en su año, o cada año desde ese año · cada meta pagada con el portafolio × índice en su año</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Y Total salidas</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W + X</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Gastos totales</w:t>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Z</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V + Y</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Flujo neto</w:t>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AA</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Q − Z</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Desinversiones</w:t>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AB Inmuebles · AC Empresa · AD Otros</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Monto que entra al portafolio × índice en el año de la venta</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AE Total</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AB + AC + AD</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Flujo neto de inversiones</w:t>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AF</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AE</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Portafolio</w:t>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AG Inicial</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Año 1: capital; luego, saldo final del año anterior</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AH Rendimiento</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AG × rendimiento del perfil financiero (F13)</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AI Flujo neto</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AA + AF</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AJ Final nominal</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AG + AH + AI + AN</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AK Real · AL Tasa de retiro</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AJ / (1 + inflación)^t · MÁX(0, −AI) / AG</w:t>
            </w:r>
          </w:p>
        </w:tc>
      </w:tr>
      <w:tr>
        <w:tc>
          <w:tcPr>
            <w:tcW w:type="dxa" w:w="2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AN Gasto no cubierto</w:t>
            </w:r>
          </w:p>
        </w:tc>
        <w:tc>
          <w:tcPr>
            <w:tcW w:type="dxa" w:w="41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MÁX(0, −(AG + AH + AI))</w:t>
            </w:r>
          </w:p>
        </w:tc>
      </w:tr>
    </w:tbl>
    <w:p>
      <w:pPr>
        <w:spacing w:after="120" w:line="300"/>
      </w:pPr>
      <w:r>
        <w:t>El portafolio nunca baja de cero: si los retiros superan el saldo, el faltante se registra como gasto no cubierto. El dashboard muestra exactamente estas columnas y cifras.</w:t>
      </w:r>
    </w:p>
    <w:p>
      <w:pPr>
        <w:pStyle w:val="Heading2"/>
      </w:pPr>
      <w:r>
        <w:t>2.4 Fondos de pensión (Ley 7983)</w:t>
      </w:r>
    </w:p>
    <w:p>
      <w:pPr>
        <w:spacing w:after="120" w:line="300"/>
      </w:pPr>
      <w:r>
        <w:t>Cada fondo crece con sus aportes y su rendimiento: saldo final = saldo inicial + aportes + rendimiento − salidas. Los aportes se pagan hasta la independencia o hasta que empieza la pensión del fondo, lo que ocurra antes, y crecen con la inflación. Si el cliente no conoce su aporte, se estima como un porcentaje del salario.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26"/>
      </w:tblGrid>
      <w:tr>
        <w:trPr>
          <w:tblHeader/>
        </w:trPr>
        <w:tc>
          <w:tcPr>
            <w:tcW w:type="dxa" w:w="16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Fondo</w:t>
            </w:r>
          </w:p>
        </w:tc>
        <w:tc>
          <w:tcPr>
            <w:tcW w:type="dxa" w:w="32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Regla</w:t>
            </w:r>
          </w:p>
        </w:tc>
        <w:tc>
          <w:tcPr>
            <w:tcW w:type="dxa" w:w="4226"/>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Fórmula del pago o traslado</w:t>
            </w:r>
          </w:p>
        </w:tc>
      </w:tr>
      <w:tr>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ROP</w:t>
            </w:r>
          </w:p>
        </w:tc>
        <w:tc>
          <w:tcPr>
            <w:tcW w:type="dxa" w:w="32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No se traslada al portafolio. Se recibe como pensión desde el año en que el cliente cumple la edad de pensión; ese año, solo los meses después del cumpleaños.</w:t>
            </w:r>
          </w:p>
        </w:tc>
        <w:tc>
          <w:tcPr>
            <w:tcW w:type="dxa" w:w="42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Renta permanente: saldo × r. Renta temporal o retiro programado: saldo × r / (1 − (1+r)^−n), con n = edad final − edad actual + 1 (87 años en la temporal, 100 en el programado). Sin pensión de un régimen básico: un solo pago a los 65 años, que entra al portafolio.</w:t>
            </w:r>
          </w:p>
        </w:tc>
      </w:tr>
      <w:tr>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FCL</w:t>
            </w:r>
          </w:p>
        </w:tc>
        <w:tc>
          <w:tcPr>
            <w:tcW w:type="dxa" w:w="32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Se traslada en cada quinquenio mientras trabaja y al terminar la relación laboral.</w:t>
            </w:r>
          </w:p>
        </w:tc>
        <w:tc>
          <w:tcPr>
            <w:tcW w:type="dxa" w:w="42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Traslado = saldo inicial + aportes + rendimiento del año del traslado.</w:t>
            </w:r>
          </w:p>
        </w:tc>
      </w:tr>
      <w:tr>
        <w:tc>
          <w:tcPr>
            <w:tcW w:type="dxa" w:w="1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Pensión voluntaria</w:t>
            </w:r>
          </w:p>
        </w:tc>
        <w:tc>
          <w:tcPr>
            <w:tcW w:type="dxa" w:w="32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Ingreso ordinario: pensión mensual desde la edad de pensión, como el ROP (la ley permite recibirla desde los 57 años; la proyección la toma desde la edad de pensión).</w:t>
            </w:r>
          </w:p>
        </w:tc>
        <w:tc>
          <w:tcPr>
            <w:tcW w:type="dxa" w:w="42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Con la modalidad que el cliente eligió para el ROP (o la del asesor): renta permanente, saldo × r; renta temporal o retiro programado, saldo × r / (1 − (1+r)^−n). El primer año, × (12 − mes de nacimiento) / 12.</w:t>
            </w:r>
          </w:p>
        </w:tc>
      </w:tr>
    </w:tbl>
    <w:p>
      <w:pPr>
        <w:spacing w:after="120" w:line="300"/>
      </w:pPr>
      <w:r>
        <w:t>r es el rendimiento anual de los fondos. La pensión del ROP (columna K) y la pensión voluntaria (columna L) entran como ingresos ordinarios desde la edad de pensión, con los meses que siguen al cumpleaños el primer año; la voluntaria usa la modalidad que el cliente eligió para el ROP. Lo trasladado del FCL entra como ingreso extraordinario (columna O).</w:t>
      </w:r>
    </w:p>
    <w:p>
      <w:pPr>
        <w:pStyle w:val="Heading2"/>
      </w:pPr>
      <w:r>
        <w:t>2.5 Resultado: ¿alcanza el plan?</w:t>
      </w:r>
    </w:p>
    <w:p>
      <w:pPr>
        <w:shd w:fill="F4F5EE" w:color="auto" w:val="clear"/>
        <w:spacing w:after="120" w:before="60"/>
        <w:ind w:left="360"/>
      </w:pPr>
      <w:r>
        <w:rPr>
          <w:rFonts w:ascii="Consolas" w:cs="Consolas" w:eastAsia="Consolas" w:hAnsi="Consolas"/>
          <w:color w:val="2B3014"/>
          <w:sz w:val="19"/>
          <w:szCs w:val="19"/>
        </w:rPr>
        <w:t>Alcanza = (gasto no cubierto total = 0) y (saldo final en dólares de hoy ≥ herencia deseada)</w:t>
      </w:r>
    </w:p>
    <w:p>
      <w:pPr>
        <w:spacing w:after="120" w:line="300"/>
      </w:pPr>
      <w:r>
        <w:rPr>
          <w:b/>
          <w:bCs/>
        </w:rPr>
        <w:t xml:space="preserve">Rendimiento de equilibrio: </w:t>
      </w:r>
      <w:r>
        <w:t>el menor rendimiento anual con el que el plan alcanza. Se compara con el rendimiento del perfil financiero y se ubica en la frontera de las cinco carteras para indicar qué perfil sería necesario.</w:t>
      </w:r>
    </w:p>
    <w:p>
      <w:pPr>
        <w:spacing w:after="120" w:line="300"/>
      </w:pPr>
      <w:r>
        <w:rPr>
          <w:b/>
          <w:bCs/>
        </w:rPr>
        <w:t>Edad a la que se agota: primera edad con gasto no cubierto. Portafolio mínimo requerido: el menor capital inicial con el que, al rendimiento del perfil financiero, no hay gasto no cubierto y el saldo final cubre la herencia. Tasa de retiro inicial: retiro neto del primer año de retiro (gastos menos ingresos, más metas y retiros directos) sobre el portafolio inicial de ese año. Es menor que el gasto total sobre el portafolio cuando el cliente recibe pensión, alquileres u otros ingresos.</w:t>
      </w:r>
      <w:r/>
    </w:p>
    <w:p>
      <w:pPr>
        <w:spacing w:after="120" w:line="300"/>
      </w:pPr>
      <w:r>
        <w:rPr>
          <w:b/>
          <w:bCs/>
        </w:rPr>
        <w:t>Caminos para alcanzar el objetivo. Si el plan no alcanza, el dashboard, la ficha y el Excel (hoja Cliente) muestran, para cada variable, el cambio que por sí solo y con todo lo demás igual permite cumplir el objetivo, calculado por búsqueda binaria sobre la misma proyección: mayor rendimiento (el rendimiento de equilibrio y la cartera que lo da; no es un camino válido si exige un perfil por encima del perfil financiero), mayor capital inicial (el portafolio mínimo requerido), aporte anual adicional al portafolio durante la acumulación (en dólares de hoy, indexado), menor gasto familiar (porcentaje de reducción en todos los años), menores gastos extraordinarios, aporte mensual adicional a la pensión voluntaria (crece al rendimiento de los fondos y se traslada al portafolio a los 57 años o en la independencia, lo que ocurra después, según la Ley 7983), postergar la independencia financiera (más años de ingreso por actividad y de aportes) y menor herencia. Se indica cuántos caminos alcanzan por sí solos; también pueden combinarse, y combinados cada uno exige un ajuste menor.</w:t>
      </w:r>
      <w:r/>
    </w:p>
    <w:p>
      <w:pPr>
        <w:spacing w:after="120" w:line="300"/>
      </w:pPr>
      <w:r>
        <w:rPr>
          <w:b/>
          <w:bCs/>
        </w:rPr>
        <w:t>Margen del plan. Si el plan ya alcanza, el mismo cálculo muestra hasta dónde puede moverse cada variable sin que el plan deje de alcanzar: rendimiento mínimo, capital inicial mínimo, aumento máximo del gasto familiar, independencia más temprana posible y saldo final disponible frente a la herencia.</w:t>
      </w:r>
      <w:r/>
    </w:p>
    <w:p>
      <w:pPr>
        <w:pStyle w:val="Heading2"/>
      </w:pPr>
      <w:r>
        <w:t>2.6 Supuestos del analista</w:t>
      </w:r>
    </w:p>
    <w:p>
      <w:pPr>
        <w:spacing w:after="120" w:line="300"/>
      </w:pPr>
      <w:r>
        <w:t>Se fijan para cada cliente antes de calcular su proyección; los valores de la firma son el punto de partida. El panel solo muestra los supuestos que usa la proyección del cliente y que el cliente no respondió: si indicó en el cuestionario la edad de inicio de su pensión, la modalidad del ROP, sus aportes o el porcentaje de gasto en el retiro, esos datos se muestran como datos del cliente y no se vuelven a pedir. Los supuestos que no aplican (por ejemplo, el tipo de cambio de un cliente sin montos en colones o la inflación de la pensión de un cliente sin pensión ni ROP) quedan en N/A de forma automática, con su motivo; no entran a ninguna fórmula, así que el N/A no puede alterar la proyección. Un supuesto que el cliente sí usa nunca queda en N/A. La inflación de ingresos, la de salud y el ajuste de alquileres eran referenciales (no entraban a ninguna fórmula) y se retiraron del panel, del Excel y de la ficha. En el panel, los supuestos se agrupan como en el Excel (mercado, pensiones y fondos de pensión, retiro de familias y personas, horizonte). Debajo, en un recuadro con los mismos grupos, aparecen los datos que ya resolvió el cuestionario, con la marca «Cuestionario», y los supuestos que no aplican, con una leyenda que explica por qué. La hoja Cliente del Excel lista los mismos supuestos y los datos del cuestionario que hacen de supuesto.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3926"/>
      </w:tblGrid>
      <w:tr>
        <w:trPr>
          <w:tblHeader/>
        </w:trPr>
        <w:tc>
          <w:tcPr>
            <w:tcW w:type="dxa" w:w="30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Supuesto</w:t>
            </w:r>
          </w:p>
        </w:tc>
        <w:tc>
          <w:tcPr>
            <w:tcW w:type="dxa" w:w="21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Valor actual</w:t>
            </w:r>
          </w:p>
        </w:tc>
        <w:tc>
          <w:tcPr>
            <w:tcW w:type="dxa" w:w="3926"/>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9"/>
                <w:szCs w:val="19"/>
              </w:rPr>
              <w:t>Qué hace en el cálculo</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Tipo de cambio</w:t>
            </w:r>
          </w:p>
        </w:tc>
        <w:tc>
          <w:tcPr>
            <w:tcW w:type="dxa" w:w="2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450</w:t>
            </w:r>
          </w:p>
        </w:tc>
        <w:tc>
          <w:tcPr>
            <w:tcW w:type="dxa" w:w="39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Convierte colones a dólares (F7)</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Inflación local (Costa Rica)</w:t>
            </w:r>
          </w:p>
        </w:tc>
        <w:tc>
          <w:tcPr>
            <w:tcW w:type="dxa" w:w="2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3,9%</w:t>
            </w:r>
          </w:p>
        </w:tc>
        <w:tc>
          <w:tcPr>
            <w:tcW w:type="dxa" w:w="39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Indexa los montos en colones (F8)</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Inflación internacional (EE. UU.)</w:t>
            </w:r>
          </w:p>
        </w:tc>
        <w:tc>
          <w:tcPr>
            <w:tcW w:type="dxa" w:w="2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3,9%</w:t>
            </w:r>
          </w:p>
        </w:tc>
        <w:tc>
          <w:tcPr>
            <w:tcW w:type="dxa" w:w="39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Indexa los montos en dólares y deflacta a términos reales (F9)</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Inflación de la pensión del IVM</w:t>
            </w:r>
          </w:p>
        </w:tc>
        <w:tc>
          <w:tcPr>
            <w:tcW w:type="dxa" w:w="2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w:t>
            </w:r>
          </w:p>
        </w:tc>
        <w:tc>
          <w:tcPr>
            <w:tcW w:type="dxa" w:w="39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Ajuste anual de la pensión del régimen básico después del primer pago (F10)</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Inflación del ROP</w:t>
            </w:r>
          </w:p>
        </w:tc>
        <w:tc>
          <w:tcPr>
            <w:tcW w:type="dxa" w:w="2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3,9%</w:t>
            </w:r>
          </w:p>
        </w:tc>
        <w:tc>
          <w:tcPr>
            <w:tcW w:type="dxa" w:w="39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Crecimiento anual de los aportes al ROP y al FCL (F11; hoja Fondos, E6)</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Inflación de la pensión voluntaria</w:t>
            </w:r>
          </w:p>
        </w:tc>
        <w:tc>
          <w:tcPr>
            <w:tcW w:type="dxa" w:w="2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3,9%</w:t>
            </w:r>
          </w:p>
        </w:tc>
        <w:tc>
          <w:tcPr>
            <w:tcW w:type="dxa" w:w="39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Crecimiento anual de los aportes a la pensión voluntaria (F12; hoja Fondos, E10)</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Año inicial</w:t>
            </w:r>
          </w:p>
        </w:tc>
        <w:tc>
          <w:tcPr>
            <w:tcW w:type="dxa" w:w="2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Año en curso</w:t>
            </w:r>
          </w:p>
        </w:tc>
        <w:tc>
          <w:tcPr>
            <w:tcW w:type="dxa" w:w="39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Primer año de la proyección (B25)</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Edad final</w:t>
            </w:r>
          </w:p>
        </w:tc>
        <w:tc>
          <w:tcPr>
            <w:tcW w:type="dxa" w:w="2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95</w:t>
            </w:r>
          </w:p>
        </w:tc>
        <w:tc>
          <w:tcPr>
            <w:tcW w:type="dxa" w:w="39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Último año proyectado: edad final del cliente o, si la planificación es conjunta, del menor de los dos</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Factor de gasto en el retiro</w:t>
            </w:r>
          </w:p>
        </w:tc>
        <w:tc>
          <w:tcPr>
            <w:tcW w:type="dxa" w:w="2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80% menor · 110% mayor</w:t>
            </w:r>
          </w:p>
        </w:tc>
        <w:tc>
          <w:tcPr>
            <w:tcW w:type="dxa" w:w="39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Gasto del retiro respecto del actual, según lo que declare el cliente (F18)</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Rendimiento de los fondos</w:t>
            </w:r>
          </w:p>
        </w:tc>
        <w:tc>
          <w:tcPr>
            <w:tcW w:type="dxa" w:w="2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6%</w:t>
            </w:r>
          </w:p>
        </w:tc>
        <w:tc>
          <w:tcPr>
            <w:tcW w:type="dxa" w:w="39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Rendimiento anual del ROP, el FCL y la pensión voluntaria (F14)</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Aporte estimado al ROP y al FCL</w:t>
            </w:r>
          </w:p>
        </w:tc>
        <w:tc>
          <w:tcPr>
            <w:tcW w:type="dxa" w:w="2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4,25% · 1,5% del salario</w:t>
            </w:r>
          </w:p>
        </w:tc>
        <w:tc>
          <w:tcPr>
            <w:tcW w:type="dxa" w:w="39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Aporte mensual cuando el cliente no lo conoce (F15 y F16)</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Edad de pensión</w:t>
            </w:r>
          </w:p>
        </w:tc>
        <w:tc>
          <w:tcPr>
            <w:tcW w:type="dxa" w:w="2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65</w:t>
            </w:r>
          </w:p>
        </w:tc>
        <w:tc>
          <w:tcPr>
            <w:tcW w:type="dxa" w:w="39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Inicio de la pensión y del ROP cuando el cliente no indica edad (F20)</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Modalidad del ROP</w:t>
            </w:r>
          </w:p>
        </w:tc>
        <w:tc>
          <w:tcPr>
            <w:tcW w:type="dxa" w:w="2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Renta permanente</w:t>
            </w:r>
          </w:p>
        </w:tc>
        <w:tc>
          <w:tcPr>
            <w:tcW w:type="dxa" w:w="39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Modalidad cuando el cliente no la elige</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Expectativa de vida (renta temporal)</w:t>
            </w:r>
          </w:p>
        </w:tc>
        <w:tc>
          <w:tcPr>
            <w:tcW w:type="dxa" w:w="2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87</w:t>
            </w:r>
          </w:p>
        </w:tc>
        <w:tc>
          <w:tcPr>
            <w:tcW w:type="dxa" w:w="39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Edad hasta la que se distribuye el ROP en renta temporal</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Edad final del retiro programado</w:t>
            </w:r>
          </w:p>
        </w:tc>
        <w:tc>
          <w:tcPr>
            <w:tcW w:type="dxa" w:w="2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100</w:t>
            </w:r>
          </w:p>
        </w:tc>
        <w:tc>
          <w:tcPr>
            <w:tcW w:type="dxa" w:w="39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Edad hasta la que se distribuye el ROP en retiro programado</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Carteras por perfil</w:t>
            </w:r>
          </w:p>
        </w:tc>
        <w:tc>
          <w:tcPr>
            <w:tcW w:type="dxa" w:w="2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Tabla de la sección 1.4</w:t>
            </w:r>
          </w:p>
        </w:tc>
        <w:tc>
          <w:tcPr>
            <w:tcW w:type="dxa" w:w="3926"/>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9"/>
                <w:szCs w:val="19"/>
              </w:rPr>
              <w:t>Rendimiento esperado que usa la proyección (celda F13)</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5E44"/>
        <w:sz w:val="16"/>
        <w:szCs w:val="16"/>
      </w:rPr>
      <w:t xml:space="preserve">Chotocruz &amp; Co. · Metodología · documento interno · página </w:t>
    </w:r>
    <w:r>
      <w:rPr>
        <w:color w:val="5A5E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01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18042" w:sz="6" w:space="4"/>
      </w:pBdr>
      <w:spacing w:after="160" w:before="360"/>
      <w:outlineLvl w:val="0"/>
    </w:pPr>
    <w:rPr>
      <w:b/>
      <w:bCs/>
      <w:color w:val="2B3014"/>
      <w:sz w:val="30"/>
      <w:szCs w:val="30"/>
    </w:rPr>
  </w:style>
  <w:style w:type="paragraph" w:styleId="Heading2">
    <w:name w:val="Heading 2"/>
    <w:basedOn w:val="Normal"/>
    <w:next w:val="Normal"/>
    <w:qFormat/>
    <w:pPr>
      <w:spacing w:after="120" w:before="240"/>
      <w:outlineLvl w:val="1"/>
    </w:pPr>
    <w:rPr>
      <w:b/>
      <w:bCs/>
      <w:color w:val="918042"/>
      <w:sz w:val="24"/>
      <w:szCs w:val="24"/>
    </w:rPr>
  </w:style>
  <w:style w:type="paragraph" w:styleId="Heading3">
    <w:name w:val="Heading 3"/>
    <w:basedOn w:val="Normal"/>
    <w:next w:val="Normal"/>
    <w:qFormat/>
    <w:pPr>
      <w:spacing w:after="100" w:before="200"/>
      <w:outlineLvl w:val="2"/>
    </w:pPr>
    <w:rPr>
      <w:b/>
      <w:bCs/>
      <w:color w:val="2B3014"/>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 del sistema de perfil de riesgo y planificación financiera</dc:title>
  <dc:creator>Chotocruz &amp; Co.</dc:creator>
  <cp:lastModifiedBy>Un-named</cp:lastModifiedBy>
  <cp:revision>1</cp:revision>
  <dcterms:created xsi:type="dcterms:W3CDTF">2026-10-16T21:55:02.570Z</dcterms:created>
  <dcterms:modified xsi:type="dcterms:W3CDTF">2026-10-16T21:55:02.570Z</dcterms:modified>
</cp:coreProperties>
</file>

<file path=docProps/custom.xml><?xml version="1.0" encoding="utf-8"?>
<Properties xmlns="http://schemas.openxmlformats.org/officeDocument/2006/custom-properties" xmlns:vt="http://schemas.openxmlformats.org/officeDocument/2006/docPropsVTypes"/>
</file>