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2B3014"/>
          <w:sz w:val="40"/>
          <w:szCs w:val="40"/>
        </w:rPr>
        <w:t xml:space="preserve">Metodología del perfil de riesgo y de la proyección</w:t>
      </w:r>
    </w:p>
    <w:p>
      <w:pPr>
        <w:spacing w:after="120" w:line="300"/>
      </w:pPr>
      <w:r>
        <w:rPr>
          <w:color w:val="5A5E44"/>
        </w:rPr>
        <w:t xml:space="preserve">Chotocruz &amp; Co. · documento interno · versión 3.0 · octubre de 2026</w:t>
      </w:r>
    </w:p>
    <w:p>
      <w:pPr>
        <w:spacing w:after="120" w:line="300"/>
      </w:pPr>
      <w:r>
        <w:t xml:space="preserve">El documento tiene dos partes. La primera explica cómo se calcula el perfil de riesgo a partir de las respuestas del cuestionario. La segunda explica cómo se calcula la proyección del Excel: sus fórmulas, las preguntas que la alimentan y los supuestos que fija el analista.</w:t>
      </w:r>
    </w:p>
    <w:p>
      <w:pPr>
        <w:pStyle w:val="Heading1"/>
      </w:pPr>
      <w:r>
        <w:t xml:space="preserve">Parte 1. Cálculo del perfil de riesgo</w:t>
      </w:r>
    </w:p>
    <w:p>
      <w:pPr>
        <w:pStyle w:val="Heading2"/>
      </w:pPr>
      <w:r>
        <w:t xml:space="preserve">1.1 Resumen del método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Cada respuesta tiene un puntaje entre 0 (menor disposición al riesgo) y 10 (mayor disposición).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 disposición al riesgo es el promedio ponderado de las diez preguntas del perfil.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 capacidad financiera es el promedio de cuatro datos de la planificación.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Cada puntaje se ubica en uno de cinco perfiles. El perfil asignado es el menor entre el de la disposición y el de la capacidad.</w:t>
      </w:r>
    </w:p>
    <w:p>
      <w:pPr>
        <w:pStyle w:val="Heading2"/>
      </w:pPr>
      <w:r>
        <w:t xml:space="preserve">1.2 Puntaje de cada pregunta</w:t>
      </w:r>
    </w:p>
    <w:p>
      <w:pPr>
        <w:spacing w:after="120" w:line="300"/>
      </w:pPr>
      <w:r>
        <w:t xml:space="preserve">Las preguntas se presentan en el orden del cuestionario de familias. Al pie de cada una se indica su subescala y su peso.</w:t>
      </w:r>
    </w:p>
    <w:p>
      <w:pPr>
        <w:pStyle w:val="Heading3"/>
      </w:pPr>
      <w:r>
        <w:t xml:space="preserve">Pregunta 1. Significado del riesgo</w:t>
      </w:r>
    </w:p>
    <w:p>
      <w:pPr>
        <w:spacing w:after="120" w:line="300"/>
      </w:pPr>
      <w:r>
        <w:rPr>
          <w:i/>
          <w:iCs/>
        </w:rPr>
        <w:t xml:space="preserve">Cuando escucha la palabra «riesgo» referida a su patrimonio, ¿qué es lo primero que le viene a la mente?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Preocupación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3,33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Incertidumbre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6,67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Oportunidad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Tolerancia. </w:t>
      </w:r>
      <w:r>
        <w:rPr>
          <w:b/>
          <w:bCs/>
        </w:rPr>
        <w:t xml:space="preserve">Peso: </w:t>
      </w:r>
      <w:r>
        <w:t xml:space="preserve">1.</w:t>
      </w:r>
    </w:p>
    <w:p>
      <w:pPr>
        <w:pStyle w:val="Heading3"/>
      </w:pPr>
      <w:r>
        <w:t xml:space="preserve">Pregunta 2. Decisiones con información incompleta</w:t>
      </w:r>
    </w:p>
    <w:p>
      <w:pPr>
        <w:spacing w:after="120" w:line="300"/>
      </w:pPr>
      <w:r>
        <w:rPr>
          <w:i/>
          <w:iCs/>
        </w:rPr>
        <w:t xml:space="preserve">Cuando debe decidir sobre una inversión y no tiene toda la información que quisiera, ¿qué hace normalmente?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Prefiero esperar hasta contar con más información, aunque pueda perder la oportunidad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Busco una segunda opinión o asesoría antes de tomar la decisión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3,33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Decido con la información disponible y reviso la decisión conforme aparece nueva información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6,67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Tomo la decisión con rapidez si considero que la oportunidad lo justifica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Tolerancia. </w:t>
      </w:r>
      <w:r>
        <w:rPr>
          <w:b/>
          <w:bCs/>
        </w:rPr>
        <w:t xml:space="preserve">Peso: </w:t>
      </w:r>
      <w:r>
        <w:t xml:space="preserve">1.</w:t>
      </w:r>
    </w:p>
    <w:p>
      <w:pPr>
        <w:pStyle w:val="Heading3"/>
      </w:pPr>
      <w:r>
        <w:t xml:space="preserve">Pregunta 3. Frecuencia de revisión</w:t>
      </w:r>
    </w:p>
    <w:p>
      <w:pPr>
        <w:spacing w:after="120" w:line="300"/>
      </w:pPr>
      <w:r>
        <w:rPr>
          <w:i/>
          <w:iCs/>
        </w:rPr>
        <w:t xml:space="preserve">Si su portafolio estuviera invertido hoy, ¿con qué frecuencia sentiría la necesidad de revisar su valor?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Varias veces por semana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Una vez por semana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3,33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Una vez al mes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6,67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tres meses o con menor frecuencia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Tolerancia. </w:t>
      </w:r>
      <w:r>
        <w:rPr>
          <w:b/>
          <w:bCs/>
        </w:rPr>
        <w:t xml:space="preserve">Peso: </w:t>
      </w:r>
      <w:r>
        <w:t xml:space="preserve">1.</w:t>
      </w:r>
    </w:p>
    <w:p>
      <w:pPr>
        <w:pStyle w:val="Heading3"/>
      </w:pPr>
      <w:r>
        <w:t xml:space="preserve">Pregunta 4. Pérdida frente a ganancia no obtenida</w:t>
      </w:r>
    </w:p>
    <w:p>
      <w:pPr>
        <w:spacing w:after="120" w:line="300"/>
      </w:pPr>
      <w:r>
        <w:rPr>
          <w:i/>
          <w:iCs/>
        </w:rPr>
        <w:t xml:space="preserve">¿Cuál de estas dos situaciones le incomodaría más?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 mi portafolio pierda 20% en un año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Ambas por igual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 mi portafolio deje de ganar el 20% que sí ganó el mercado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Apetito. </w:t>
      </w:r>
      <w:r>
        <w:rPr>
          <w:b/>
          <w:bCs/>
        </w:rPr>
        <w:t xml:space="preserve">Peso: </w:t>
      </w:r>
      <w:r>
        <w:t xml:space="preserve">2.</w:t>
      </w:r>
    </w:p>
    <w:p>
      <w:pPr>
        <w:pStyle w:val="Heading3"/>
      </w:pPr>
      <w:r>
        <w:t xml:space="preserve">Pregunta 5. Retorno esperado y caída máxima</w:t>
      </w:r>
    </w:p>
    <w:p>
      <w:pPr>
        <w:spacing w:after="120" w:line="300"/>
      </w:pPr>
      <w:r>
        <w:rPr>
          <w:i/>
          <w:iCs/>
        </w:rPr>
        <w:t xml:space="preserve">¿Cuál combinación de retorno esperado y caída máxima en un año le parece aceptable?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Retorno esperado de 5% a 5,5% anual · pérdida aproximada de hasta −5%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Retorno esperado de 6% a 6,5% anual · pérdida aproximada de hasta −7%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Retorno esperado de 7% a 7,5% anual · pérdida aproximada de hasta −9%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Retorno esperado de 8% a 8,5% anual · pérdida aproximada de hasta −12%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7,5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Retorno esperado de 9% a 9,5% anual · pérdida aproximada de hasta −16%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Apetito. </w:t>
      </w:r>
      <w:r>
        <w:rPr>
          <w:b/>
          <w:bCs/>
        </w:rPr>
        <w:t xml:space="preserve">Peso: </w:t>
      </w:r>
      <w:r>
        <w:t xml:space="preserve">2.</w:t>
      </w:r>
    </w:p>
    <w:p>
      <w:pPr>
        <w:pStyle w:val="Heading3"/>
      </w:pPr>
      <w:r>
        <w:t xml:space="preserve">Pregunta 6. Aportes frente a riesgo</w:t>
      </w:r>
    </w:p>
    <w:p>
      <w:pPr>
        <w:spacing w:after="120" w:line="300"/>
      </w:pPr>
      <w:r>
        <w:rPr>
          <w:i/>
          <w:iCs/>
        </w:rPr>
        <w:t xml:space="preserve">Para alcanzar sus metas financieras, puede depender más de sus aportes o asumir más riesgo buscando un mayor rendimiento del portafolio. ¿Qué prefiere?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Prefiero aumentar mis aportes y asumir un nivel bajo de riesgo en el portafolio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Prefiero aportar un poco más y mantener un nivel moderado de riesgo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3,33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Prefiero mantener mis aportes previstos y aceptar un mayor nivel de riesgo para buscar más rendimiento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6,67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Prefiero depender más del rendimiento del portafolio, aun si eso implica asumir fluctuaciones mayores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Apetito. </w:t>
      </w:r>
      <w:r>
        <w:rPr>
          <w:b/>
          <w:bCs/>
        </w:rPr>
        <w:t xml:space="preserve">Peso: </w:t>
      </w:r>
      <w:r>
        <w:t xml:space="preserve">1.</w:t>
      </w:r>
    </w:p>
    <w:p>
      <w:pPr>
        <w:pStyle w:val="Heading3"/>
      </w:pPr>
      <w:r>
        <w:t xml:space="preserve">Pregunta 7. Reacción ante la última pérdida</w:t>
      </w:r>
    </w:p>
    <w:p>
      <w:pPr>
        <w:spacing w:after="120" w:line="300"/>
      </w:pPr>
      <w:r>
        <w:rPr>
          <w:i/>
          <w:iCs/>
        </w:rPr>
        <w:t xml:space="preserve">La última vez que una inversión, un negocio o una propiedad suya perdió valor de forma importante, ¿qué hizo?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Vendí o salí de la inversión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Reduje parte de mi exposición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3,33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Mantuve mi posición sin hacer cambios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6,67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Aumenté mi exposición aprovechando la caída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aplica: no he vivido una situación similar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se cuenta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Tolerancia. </w:t>
      </w:r>
      <w:r>
        <w:rPr>
          <w:b/>
          <w:bCs/>
        </w:rPr>
        <w:t xml:space="preserve">Peso: </w:t>
      </w:r>
      <w:r>
        <w:t xml:space="preserve">2.</w:t>
      </w:r>
      <w:r>
        <w:t xml:space="preserve"> Si responde «No aplica», la pregunta no entra al promedio.</w:t>
      </w:r>
    </w:p>
    <w:p>
      <w:pPr>
        <w:pStyle w:val="Heading3"/>
      </w:pPr>
      <w:r>
        <w:t xml:space="preserve">Pregunta 8. Uso de un año bueno</w:t>
      </w:r>
    </w:p>
    <w:p>
      <w:pPr>
        <w:spacing w:after="120" w:line="300"/>
      </w:pPr>
      <w:r>
        <w:rPr>
          <w:i/>
          <w:iCs/>
        </w:rPr>
        <w:t xml:space="preserve">Después de un año excepcionalmente bueno en su empresa o en su portafolio, ¿qué suele hacer con ese excedente?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 mantengo en liquidez para contar con una reserva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 utilizo para reducir deuda u otros compromisos financieros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 distribuyo entre ahorro, inversión y otros objetivos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 reinvierto manteniendo una estrategia similar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7,5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 destino a nuevas oportunidades con mayor potencial y mayor riesgo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Apetito. </w:t>
      </w:r>
      <w:r>
        <w:rPr>
          <w:b/>
          <w:bCs/>
        </w:rPr>
        <w:t xml:space="preserve">Peso: </w:t>
      </w:r>
      <w:r>
        <w:t xml:space="preserve">1.</w:t>
      </w:r>
    </w:p>
    <w:p>
      <w:pPr>
        <w:pStyle w:val="Heading3"/>
      </w:pPr>
      <w:r>
        <w:t xml:space="preserve">Pregunta 9. Reacción ante un año malo</w:t>
      </w:r>
    </w:p>
    <w:p>
      <w:pPr>
        <w:spacing w:after="120" w:line="300"/>
      </w:pPr>
      <w:r>
        <w:rPr>
          <w:i/>
          <w:iCs/>
        </w:rPr>
        <w:t xml:space="preserve">Después de un año excepcionalmente malo en su portafolio, ¿qué suele hacer?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Reduzco mi exposición y aumento la liquidez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Hago algunos ajustes para disminuir el riesgo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Mantengo la estrategia sin cambios importantes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Rebalanceo y aprovecho algunas oportunidades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7,5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Aumento mi exposición buscando beneficiarme de la recuperación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Tolerancia. </w:t>
      </w:r>
      <w:r>
        <w:rPr>
          <w:b/>
          <w:bCs/>
        </w:rPr>
        <w:t xml:space="preserve">Peso: </w:t>
      </w:r>
      <w:r>
        <w:t xml:space="preserve">2.</w:t>
      </w:r>
    </w:p>
    <w:p>
      <w:pPr>
        <w:pStyle w:val="Heading3"/>
      </w:pPr>
      <w:r>
        <w:t xml:space="preserve">Pregunta 10. Alternativa única de inversión</w:t>
      </w:r>
    </w:p>
    <w:p>
      <w:pPr>
        <w:spacing w:after="120" w:line="300"/>
      </w:pPr>
      <w:r>
        <w:rPr>
          <w:i/>
          <w:iCs/>
        </w:rPr>
        <w:t xml:space="preserve">Si tuviera que invertir una parte de su patrimonio en una sola alternativa durante varios años, ¿cuál elegiría? No puede combinar varias opciones.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6"/>
        <w:gridCol w:w="1600"/>
      </w:tblGrid>
      <w:tr>
        <w:trPr>
          <w:tblHeader/>
        </w:trP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Certificado de depósito bancario · rendimiento esperado de 3% a 4% anual · sin fluctuaciones de mercado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Bonos de alta calidad · rendimiento esperado de 4% a 5% anual · fluctuaciones anuales de aproximadamente ±3%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3,33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Inversión inmobiliaria diversificada · rendimiento esperado de 6% a 7% anual · fluctuaciones anuales de aproximadamente ±8%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6,67</w:t>
            </w:r>
          </w:p>
        </w:tc>
      </w:tr>
      <w:tr>
        <w:tc>
          <w:tcPr>
            <w:tcW w:type="dxa" w:w="74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Acciones globales diversificadas · rendimiento esperado de 8% a 9% anual · fluctuaciones anuales de aproximadamente ±15%</w:t>
            </w:r>
          </w:p>
        </w:tc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 w:line="300"/>
      </w:pPr>
      <w:r>
        <w:rPr>
          <w:b/>
          <w:bCs/>
        </w:rPr>
        <w:t xml:space="preserve">Subescala: </w:t>
      </w:r>
      <w:r>
        <w:t xml:space="preserve">Apetito. </w:t>
      </w:r>
      <w:r>
        <w:rPr>
          <w:b/>
          <w:bCs/>
        </w:rPr>
        <w:t xml:space="preserve">Peso: </w:t>
      </w:r>
      <w:r>
        <w:t xml:space="preserve">2.</w:t>
      </w:r>
    </w:p>
    <w:p>
      <w:pPr>
        <w:pStyle w:val="Heading2"/>
      </w:pPr>
      <w:r>
        <w:t xml:space="preserve">1.3 Disposición al riesgo</w:t>
      </w:r>
    </w:p>
    <w:p>
      <w:pPr>
        <w:spacing w:after="120" w:line="300"/>
      </w:pPr>
      <w:r>
        <w:t xml:space="preserve">Es el promedio ponderado de las diez preguntas. Las preguntas que miden conducta o decisiones concretas (4, 5, 7, 9 y 10 del cuestionario) pesan el doble que las de percepción.</w:t>
      </w:r>
    </w:p>
    <w:p>
      <w:pPr>
        <w:shd w:fill="F4F5EE" w:color="auto" w:val="clear"/>
        <w:spacing w:after="120" w:before="60"/>
        <w:ind w:left="360"/>
      </w:pPr>
      <w:r>
        <w:rPr>
          <w:rFonts w:ascii="Consolas" w:cs="Consolas" w:eastAsia="Consolas" w:hAnsi="Consolas"/>
          <w:color w:val="2B3014"/>
          <w:sz w:val="19"/>
          <w:szCs w:val="19"/>
        </w:rPr>
        <w:t xml:space="preserve">Disposición = Σ (puntaje × peso) / Σ (peso)</w:t>
      </w:r>
    </w:p>
    <w:p>
      <w:pPr>
        <w:spacing w:after="120" w:line="300"/>
      </w:pPr>
      <w:r>
        <w:t xml:space="preserve">Solo se suman las preguntas respondidas; una pregunta en blanco o «No aplica» sale del numerador y del denominador. Con todas respondidas, la suma de pesos es 15.</w:t>
      </w:r>
    </w:p>
    <w:p>
      <w:pPr>
        <w:spacing w:after="120" w:line="300"/>
      </w:pPr>
      <w:r>
        <w:t xml:space="preserve">La tolerancia (preguntas de subescala tolerancia) y el apetito (subescala apetito) se calculan con la misma fórmula. No cambian el perfil: si difieren en 3 puntos o más, el dashboard muestra un aviso para conversarlo con el cliente.</w:t>
      </w:r>
    </w:p>
    <w:p>
      <w:pPr>
        <w:pStyle w:val="Heading2"/>
      </w:pPr>
      <w:r>
        <w:t xml:space="preserve">1.4 Los cinco perfiles</w:t>
      </w:r>
    </w:p>
    <w:p>
      <w:pPr>
        <w:spacing w:after="120" w:line="300"/>
      </w:pPr>
      <w:r>
        <w:t xml:space="preserve">La escala de 0 a 10 se divide en cinco tramos de igual amplitud: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000"/>
        <w:gridCol w:w="2726"/>
      </w:tblGrid>
      <w:tr>
        <w:trPr>
          <w:tblHeader/>
        </w:trP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  <w:tc>
          <w:tcPr>
            <w:tcW w:type="dxa" w:w="2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Rendimiento esperado</w:t>
            </w:r>
          </w:p>
        </w:tc>
        <w:tc>
          <w:tcPr>
            <w:tcW w:type="dxa" w:w="27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Renta variable · renta fija · efectivo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2</w:t>
            </w:r>
          </w:p>
        </w:tc>
        <w:tc>
          <w:tcPr>
            <w:tcW w:type="dxa" w:w="2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Conservador</w:t>
            </w:r>
          </w:p>
        </w:tc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5,0%</w:t>
            </w:r>
          </w:p>
        </w:tc>
        <w:tc>
          <w:tcPr>
            <w:tcW w:type="dxa" w:w="27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20% · 50% · 30%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2 a menos de 4</w:t>
            </w:r>
          </w:p>
        </w:tc>
        <w:tc>
          <w:tcPr>
            <w:tcW w:type="dxa" w:w="2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conservador</w:t>
            </w:r>
          </w:p>
        </w:tc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6,0%</w:t>
            </w:r>
          </w:p>
        </w:tc>
        <w:tc>
          <w:tcPr>
            <w:tcW w:type="dxa" w:w="27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40% · 42,5% · 17,5%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4 a menos de 6</w:t>
            </w:r>
          </w:p>
        </w:tc>
        <w:tc>
          <w:tcPr>
            <w:tcW w:type="dxa" w:w="2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7,0%</w:t>
            </w:r>
          </w:p>
        </w:tc>
        <w:tc>
          <w:tcPr>
            <w:tcW w:type="dxa" w:w="27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60% · 35% · 5%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6 a menos de 8</w:t>
            </w:r>
          </w:p>
        </w:tc>
        <w:tc>
          <w:tcPr>
            <w:tcW w:type="dxa" w:w="2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agresivo</w:t>
            </w:r>
          </w:p>
        </w:tc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7,5%</w:t>
            </w:r>
          </w:p>
        </w:tc>
        <w:tc>
          <w:tcPr>
            <w:tcW w:type="dxa" w:w="27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77,5% · 17,5% · 5%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 o más</w:t>
            </w:r>
          </w:p>
        </w:tc>
        <w:tc>
          <w:tcPr>
            <w:tcW w:type="dxa" w:w="2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Agresivo</w:t>
            </w:r>
          </w:p>
        </w:tc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8,0%</w:t>
            </w:r>
          </w:p>
        </w:tc>
        <w:tc>
          <w:tcPr>
            <w:tcW w:type="dxa" w:w="27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95% · 0% · 5%</w:t>
            </w:r>
          </w:p>
        </w:tc>
      </w:tr>
    </w:tbl>
    <w:p>
      <w:pPr>
        <w:spacing w:after="120" w:line="300"/>
      </w:pPr>
      <w:r>
        <w:t xml:space="preserve">Si la disposición queda a menos de 0,4 puntos de un corte, el dashboard la marca como zona de frontera para confirmarla con el cliente. El perfil no cambia.</w:t>
      </w:r>
    </w:p>
    <w:p>
      <w:pPr>
        <w:pStyle w:val="Heading2"/>
      </w:pPr>
      <w:r>
        <w:t xml:space="preserve">1.5 Capacidad financiera</w:t>
      </w:r>
    </w:p>
    <w:p>
      <w:pPr>
        <w:spacing w:after="120" w:line="300"/>
      </w:pPr>
      <w:r>
        <w:t xml:space="preserve">Es el promedio simple de cuatro componentes, cada uno de 0 a 10: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3826"/>
      </w:tblGrid>
      <w:tr>
        <w:trPr>
          <w:tblHeader/>
        </w:trP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 del cuestionario</w:t>
            </w:r>
          </w:p>
        </w:tc>
        <w:tc>
          <w:tcPr>
            <w:tcW w:type="dxa" w:w="38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Puntaje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Horizonte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de independencia financiera menos edad actual</w:t>
            </w:r>
          </w:p>
        </w:tc>
        <w:tc>
          <w:tcPr>
            <w:tcW w:type="dxa" w:w="38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5 años: 0 · de 5 a 9: 3,33 · de 10 a 14: 6,67 · 15 o más: 10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Estabilidad del ingreso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Predictibilidad del ingreso mensual</w:t>
            </w:r>
          </w:p>
        </w:tc>
        <w:tc>
          <w:tcPr>
            <w:tcW w:type="dxa" w:w="38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Varía mucho: 0 · varía moderadamente: 3,33 · estable: 6,67 · fijo o rentas consolidadas: 10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Dependientes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personas que dependen del cliente</w:t>
            </w:r>
          </w:p>
        </w:tc>
        <w:tc>
          <w:tcPr>
            <w:tcW w:type="dxa" w:w="38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 o más: 0 · 3: 3,33 · 1 o 2: 6,67 · ninguna: 10</w:t>
            </w:r>
          </w:p>
        </w:tc>
      </w:tr>
      <w:tr>
        <w:tc>
          <w:tcPr>
            <w:tcW w:type="dxa" w:w="2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Peso del portafolio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Parte del patrimonio que representa el portafolio</w:t>
            </w:r>
          </w:p>
        </w:tc>
        <w:tc>
          <w:tcPr>
            <w:tcW w:type="dxa" w:w="38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Prácticamente todo: 0 · más de la mitad: 3,33 · entre un cuarto y la mitad: 6,67 · menos de un cuarto: 10</w:t>
            </w:r>
          </w:p>
        </w:tc>
      </w:tr>
    </w:tbl>
    <w:p>
      <w:pPr>
        <w:spacing w:after="120" w:line="300"/>
      </w:pPr>
      <w:r>
        <w:t xml:space="preserve">Para instituciones no hay dependientes: la capacidad es el promedio del horizonte de inversión declarado, la estabilidad de los ingresos y el peso del portafolio en sus activos.</w:t>
      </w:r>
    </w:p>
    <w:p>
      <w:pPr>
        <w:shd w:fill="F4F5EE" w:color="auto" w:val="clear"/>
        <w:spacing w:after="120" w:before="60"/>
        <w:ind w:left="360"/>
      </w:pPr>
      <w:r>
        <w:rPr>
          <w:rFonts w:ascii="Consolas" w:cs="Consolas" w:eastAsia="Consolas" w:hAnsi="Consolas"/>
          <w:color w:val="2B3014"/>
          <w:sz w:val="19"/>
          <w:szCs w:val="19"/>
        </w:rPr>
        <w:t xml:space="preserve">Capacidad = promedio de los componentes respondidos</w:t>
      </w:r>
    </w:p>
    <w:p>
      <w:pPr>
        <w:pStyle w:val="Heading2"/>
      </w:pPr>
      <w:r>
        <w:t xml:space="preserve">1.6 Conocimiento</w:t>
      </w:r>
    </w:p>
    <w:p>
      <w:pPr>
        <w:spacing w:after="120" w:line="300"/>
      </w:pPr>
      <w:r>
        <w:t xml:space="preserve">En familias, el conocimiento se mide con la pregunta 10 (alternativa única de inversión), que ya forma parte de la disposición; no se aplica otra vez. En instituciones se pregunta aparte y funciona como techo: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6"/>
        <w:gridCol w:w="4000"/>
      </w:tblGrid>
      <w:tr>
        <w:trPr>
          <w:tblHeader/>
        </w:trPr>
        <w:tc>
          <w:tcPr>
            <w:tcW w:type="dxa" w:w="50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Conocimiento declarado</w:t>
            </w:r>
          </w:p>
        </w:tc>
        <w:tc>
          <w:tcPr>
            <w:tcW w:type="dxa" w:w="4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 máximo</w:t>
            </w:r>
          </w:p>
        </w:tc>
      </w:tr>
      <w:tr>
        <w:tc>
          <w:tcPr>
            <w:tcW w:type="dxa" w:w="50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Ninguno (0)</w:t>
            </w:r>
          </w:p>
        </w:tc>
        <w:tc>
          <w:tcPr>
            <w:tcW w:type="dxa" w:w="4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Conservador</w:t>
            </w:r>
          </w:p>
        </w:tc>
      </w:tr>
      <w:tr>
        <w:tc>
          <w:tcPr>
            <w:tcW w:type="dxa" w:w="50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Limitado (3,33)</w:t>
            </w:r>
          </w:p>
        </w:tc>
        <w:tc>
          <w:tcPr>
            <w:tcW w:type="dxa" w:w="4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</w:tr>
      <w:tr>
        <w:tc>
          <w:tcPr>
            <w:tcW w:type="dxa" w:w="50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Bueno o extenso (6,67 o 10)</w:t>
            </w:r>
          </w:p>
        </w:tc>
        <w:tc>
          <w:tcPr>
            <w:tcW w:type="dxa" w:w="4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 límite</w:t>
            </w:r>
          </w:p>
        </w:tc>
      </w:tr>
    </w:tbl>
    <w:p>
      <w:pPr>
        <w:pStyle w:val="Heading2"/>
      </w:pPr>
      <w:r>
        <w:t xml:space="preserve">1.7 Perfil asignado</w:t>
      </w:r>
    </w:p>
    <w:p>
      <w:pPr>
        <w:shd w:fill="F4F5EE" w:color="auto" w:val="clear"/>
        <w:spacing w:after="120" w:before="60"/>
        <w:ind w:left="360"/>
      </w:pPr>
      <w:r>
        <w:rPr>
          <w:rFonts w:ascii="Consolas" w:cs="Consolas" w:eastAsia="Consolas" w:hAnsi="Consolas"/>
          <w:color w:val="2B3014"/>
          <w:sz w:val="19"/>
          <w:szCs w:val="19"/>
        </w:rPr>
        <w:t xml:space="preserve">Perfil asignado = mínimo { perfil de la disposición ; perfil de la capacidad ; techo de conocimiento }</w:t>
      </w:r>
    </w:p>
    <w:p>
      <w:pPr>
        <w:spacing w:after="120" w:line="300"/>
      </w:pPr>
      <w:r>
        <w:t xml:space="preserve">El cliente recibe un solo perfil, que es uno de los cinco. Cuando la capacidad o el conocimiento lo bajan, el dashboard lo indica como limitante y, en la matriz, las franjas que el cliente no puede alcanzar se muestran rayadas y sin rótulo.</w:t>
      </w:r>
    </w:p>
    <w:p>
      <w:pPr>
        <w:spacing w:after="120" w:line="300"/>
      </w:pPr>
      <w:r>
        <w:rPr>
          <w:b/>
          <w:bCs/>
        </w:rPr>
        <w:t xml:space="preserve">Ejemplo. </w:t>
      </w:r>
      <w:r>
        <w:t xml:space="preserve">Disposición 6,4 (moderado agresivo) y capacidad 5,0 (moderado): el perfil asignado es moderado, con la capacidad como limitante.</w:t>
      </w:r>
    </w:p>
    <w:p>
      <w:pPr>
        <w:pStyle w:val="Heading1"/>
      </w:pPr>
      <w:r>
        <w:t xml:space="preserve">Parte 2. Metodología de la proyección</w:t>
      </w:r>
    </w:p>
    <w:p>
      <w:pPr>
        <w:pStyle w:val="Heading2"/>
      </w:pPr>
      <w:r>
        <w:t xml:space="preserve">2.1 Preguntas que alimentan la proyección</w:t>
      </w:r>
    </w:p>
    <w:p>
      <w:pPr>
        <w:spacing w:after="120" w:line="300"/>
      </w:pPr>
      <w:r>
        <w:t xml:space="preserve">Las preguntas obligatorias (marcadas con asterisco en el cuestionario) son las mínimas para proyectar. Las opcionales afinan el resultado; si están en blanco, la proyección no las incluye.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300"/>
        <w:gridCol w:w="3926"/>
      </w:tblGrid>
      <w:tr>
        <w:trPr>
          <w:tblHeader/>
        </w:trP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 en la proyección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actual (datos del cliente)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de cada año y horizonte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de independencia financiera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 de la etapa de aportes e inicio de los retiros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Personas que dependen del cliente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Capacidad financiera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Retiros para dependientes (monto, año de inicio y años)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Salidas del portafolio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Ingreso mensual y su predictibilidad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del aporte anual y capacidad financiera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Gasto familiar mensual y cambio en el retiro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Retiro anual desde la independencia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Pensión (régimen, monto y edad de inicio) y otros ingresos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Entradas desde el primer pago de pensión y desde la independencia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ROP, FCL y pensión voluntaria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Hoja «Fondos de pensión»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Monto inicial del portafolio y su peso en el patrimonio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inicial y capacidad financiera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Metas específicas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Salidas en el año de cada meta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Destino del patrimonio (herencia)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Sí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Saldo mínimo al final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Aporte anual (% del ingreso)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Aportes durante la acumulación; si falta, 0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Ventas de activos que se invierten y aportes extraordinarios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Entradas en el año indicado</w:t>
            </w:r>
          </w:p>
        </w:tc>
      </w:tr>
      <w:tr>
        <w:tc>
          <w:tcPr>
            <w:tcW w:type="dxa" w:w="38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Vivienda, inmuebles, empresa, deudas, reserva y seguros</w:t>
            </w:r>
          </w:p>
        </w:tc>
        <w:tc>
          <w:tcPr>
            <w:tcW w:type="dxa" w:w="13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Informativas para el analista; no entran a las fórmulas</w:t>
            </w:r>
          </w:p>
        </w:tc>
      </w:tr>
    </w:tbl>
    <w:p>
      <w:pPr>
        <w:pStyle w:val="Heading2"/>
      </w:pPr>
      <w:r>
        <w:t xml:space="preserve">2.2 Estructura del Excel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Cliente: </w:t>
      </w:r>
      <w:r>
        <w:t xml:space="preserve">respuestas del cuestionario.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Proyección: </w:t>
      </w:r>
      <w:r>
        <w:t xml:space="preserve">supuestos en las filas 1 a 7 y una fila por año desde la fila 10 hasta la edad final.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Fondos de pensión: </w:t>
      </w:r>
      <w:r>
        <w:t xml:space="preserve">evolución del ROP, el FCL y la pensión voluntaria.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Datos: </w:t>
      </w:r>
      <w:r>
        <w:t xml:space="preserve">insumos de los gráficos (matriz de perfil y cartera de equilibrio).</w:t>
      </w:r>
    </w:p>
    <w:p>
      <w:pPr>
        <w:spacing w:after="120" w:line="300"/>
      </w:pPr>
      <w:r>
        <w:t xml:space="preserve">Todo se calcula en dólares nominales. Los montos en colones se dividen entre el tipo de cambio (D1); los montos «en dólares de hoy» se llevan al año t multiplicando por (1 + inflación)^(t − 1).</w:t>
      </w:r>
    </w:p>
    <w:p>
      <w:pPr>
        <w:pStyle w:val="Heading2"/>
      </w:pPr>
      <w:r>
        <w:t xml:space="preserve">2.3 Fórmulas de la hoja «Proyección»</w:t>
      </w:r>
    </w:p>
    <w:p>
      <w:pPr>
        <w:spacing w:after="120" w:line="300"/>
      </w:pPr>
      <w:r>
        <w:t xml:space="preserve">Para cada año t (fila r):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5226"/>
      </w:tblGrid>
      <w:tr>
        <w:trPr>
          <w:tblHeader/>
        </w:trP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Fórmula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B, C, D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Año, edad y período t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Año inicial + t − 1; edad actual + t − 1; t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Salario mensual (₡)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E(t) = E(t−1) × (1 + D3), hasta la independencia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G, H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Gasto familiar anual (₡ y US$)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G(t) = G(t−1) × (1 + D3); H = G / D1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Portafolio inicial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K(1) = monto inicial; K(t) = Q(t−1)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Aportes o retiros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Acumulación: E × 12 × L6 / D1. Retiro: −H (gasto del año)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Rendimiento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Rendimiento esperado del perfil asignado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Retorno en US$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 = K × N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 neto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 = O + L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Traslado de FCL y pensión voluntaria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Viene de la hoja «Fondos de pensión»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Pensión del ROP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Viene de la hoja «Fondos de pensión»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Pensión anual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 t ≥ L5: L1 × 12 × (1+D3)^(L5−1) × (1+D4)^(t−L5); si no, 0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Otros ingresos en el retiro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Desde la independencia: L2 × 12 × (1+D3)^(t−1)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Aportes extraordinarios y ventas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Monto del año (US$ de hoy) × (1+D3)^(t−1)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Retiros para dependientes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−(retiro anual de los dependientes activos ese año) × (1+D3)^(t−1)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Metas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−(monto de la meta del año) × (1+D3)^(t−1)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Última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Gasto no cubierto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MAX(0, −(K + P + flujos adicionales))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Portafolio final nominal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 = K + P + flujos adicionales + gasto no cubierto</w:t>
            </w:r>
          </w:p>
        </w:tc>
      </w:tr>
      <w:tr>
        <w:tc>
          <w:tcPr>
            <w:tcW w:type="dxa" w:w="1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</w:t>
            </w:r>
          </w:p>
        </w:tc>
        <w:tc>
          <w:tcPr>
            <w:tcW w:type="dxa" w:w="2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Portafolio en términos reales</w:t>
            </w:r>
          </w:p>
        </w:tc>
        <w:tc>
          <w:tcPr>
            <w:tcW w:type="dxa" w:w="5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 = Q / (1 + D3)^t</w:t>
            </w:r>
          </w:p>
        </w:tc>
      </w:tr>
    </w:tbl>
    <w:p>
      <w:pPr>
        <w:spacing w:after="120" w:line="300"/>
      </w:pPr>
      <w:r>
        <w:t xml:space="preserve">El portafolio nunca baja de cero: si las salidas superan el saldo, el faltante se registra como gasto no cubierto y el portafolio queda en cero ese año.</w:t>
      </w:r>
    </w:p>
    <w:p>
      <w:pPr>
        <w:pStyle w:val="Heading2"/>
      </w:pPr>
      <w:r>
        <w:t xml:space="preserve">2.4 Fondos de pensión (Ley 7983)</w:t>
      </w:r>
    </w:p>
    <w:p>
      <w:pPr>
        <w:spacing w:after="120" w:line="300"/>
      </w:pPr>
      <w:r>
        <w:t xml:space="preserve">Cada fondo crece con sus aportes y su rendimiento: saldo final = saldo inicial + aportes + rendimiento − salidas. Los aportes se pagan hasta la independencia y crecen con la inflación. Si el cliente no conoce su aporte, se estima como un porcentaje del salario.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226"/>
      </w:tblGrid>
      <w:tr>
        <w:trPr>
          <w:tblHeader/>
        </w:trPr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Fondo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Fórmula del pago o traslado</w:t>
            </w:r>
          </w:p>
        </w:tc>
      </w:tr>
      <w:tr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ROP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se traslada al portafolio. Se recibe como pensión desde la edad de pensión.</w:t>
            </w:r>
          </w:p>
        </w:tc>
        <w:tc>
          <w:tcPr>
            <w:tcW w:type="dxa" w:w="4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Renta permanente: saldo × r. Renta temporal o retiro programado: saldo × r / (1 − (1+r)^−n), con n = edad final − edad actual + 1 (87 años en la temporal, 100 en el programado). Sin pensión de un régimen básico: un solo pago a los 65 años, que entra al portafolio.</w:t>
            </w:r>
          </w:p>
        </w:tc>
      </w:tr>
      <w:tr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FCL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traslada en cada quinquenio mientras trabaja y al terminar la relación laboral.</w:t>
            </w:r>
          </w:p>
        </w:tc>
        <w:tc>
          <w:tcPr>
            <w:tcW w:type="dxa" w:w="4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Traslado = saldo inicial + aportes + rendimiento del año del traslado.</w:t>
            </w:r>
          </w:p>
        </w:tc>
      </w:tr>
      <w:tr>
        <w:tc>
          <w:tcPr>
            <w:tcW w:type="dxa" w:w="16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Pensión voluntaria</w:t>
            </w:r>
          </w:p>
        </w:tc>
        <w:tc>
          <w:tcPr>
            <w:tcW w:type="dxa" w:w="32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retira desde los 57 años.</w:t>
            </w:r>
          </w:p>
        </w:tc>
        <w:tc>
          <w:tcPr>
            <w:tcW w:type="dxa" w:w="42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Traslado en el año pedido por el cliente, o a los 57 si lo pidió antes.</w:t>
            </w:r>
          </w:p>
        </w:tc>
      </w:tr>
    </w:tbl>
    <w:p>
      <w:pPr>
        <w:spacing w:after="120" w:line="300"/>
      </w:pPr>
      <w:r>
        <w:t xml:space="preserve">r es el rendimiento anual de los fondos. Lo trasladado entra en la columna S y la pensión del ROP en la columna T de la proyección.</w:t>
      </w:r>
    </w:p>
    <w:p>
      <w:pPr>
        <w:pStyle w:val="Heading2"/>
      </w:pPr>
      <w:r>
        <w:t xml:space="preserve">2.5 Resultado: ¿alcanza el plan?</w:t>
      </w:r>
    </w:p>
    <w:p>
      <w:pPr>
        <w:shd w:fill="F4F5EE" w:color="auto" w:val="clear"/>
        <w:spacing w:after="120" w:before="60"/>
        <w:ind w:left="360"/>
      </w:pPr>
      <w:r>
        <w:rPr>
          <w:rFonts w:ascii="Consolas" w:cs="Consolas" w:eastAsia="Consolas" w:hAnsi="Consolas"/>
          <w:color w:val="2B3014"/>
          <w:sz w:val="19"/>
          <w:szCs w:val="19"/>
        </w:rPr>
        <w:t xml:space="preserve">Alcanza = (gasto no cubierto total = 0) y (saldo final en dólares de hoy ≥ herencia deseada)</w:t>
      </w:r>
    </w:p>
    <w:p>
      <w:pPr>
        <w:spacing w:after="120" w:line="300"/>
      </w:pPr>
      <w:r>
        <w:rPr>
          <w:b/>
          <w:bCs/>
        </w:rPr>
        <w:t xml:space="preserve">Rendimiento de equilibrio: </w:t>
      </w:r>
      <w:r>
        <w:t xml:space="preserve">el menor rendimiento anual con el que el plan alcanza. Se compara con el rendimiento del perfil asignado y se ubica en la frontera de las cinco carteras para indicar qué perfil sería necesario.</w:t>
      </w:r>
    </w:p>
    <w:p>
      <w:pPr>
        <w:spacing w:after="120" w:line="300"/>
      </w:pPr>
      <w:r>
        <w:rPr>
          <w:b/>
          <w:bCs/>
        </w:rPr>
        <w:t xml:space="preserve">Edad a la que se agota: </w:t>
      </w:r>
      <w:r>
        <w:t xml:space="preserve">primera edad con gasto no cubierto.</w:t>
      </w:r>
    </w:p>
    <w:p>
      <w:pPr>
        <w:pStyle w:val="Heading2"/>
      </w:pPr>
      <w:r>
        <w:t xml:space="preserve">2.6 Supuestos del analista</w:t>
      </w:r>
    </w:p>
    <w:p>
      <w:pPr>
        <w:spacing w:after="120" w:line="300"/>
      </w:pPr>
      <w:r>
        <w:t xml:space="preserve">Se fijan en el panel de supuestos del dashboard y valen para todos los clientes.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3926"/>
      </w:tblGrid>
      <w:tr>
        <w:trPr>
          <w:tblHeader/>
        </w:trP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Supuesto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actual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shd w:fill="2B301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en el cálculo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cambio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colones a dólares (D1)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Inflación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3,9%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Indexa gasto, salario y montos en dólares de hoy; deflacta a términos reales (D3)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Inflación de la pensión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1%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Ajuste anual de la pensión después del primer pago (D4)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Inflación de ingresos, salud y ajuste de alquileres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1% · 8% · 0%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Referenciales; no entran a las fórmulas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Año inicial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Año en curso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Primer año de la proyección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final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Último año proyectado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Factor de gasto en el retiro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80% menor · 110% mayor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Gasto del retiro respecto del actual, según lo que declare el cliente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Rendimiento de los fondos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6%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Rendimiento anual del ROP, el FCL y la pensión voluntaria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Aporte estimado al ROP y al FCL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4,25% · 1,5% del salario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Aporte mensual cuando el cliente no lo conoce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de pensión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Inicio de la pensión y del ROP cuando el cliente no indica edad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 del ROP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Renta permanente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 cuando el cliente no la elige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Expectativa de vida (renta temporal)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hasta la que se distribuye el ROP en renta temporal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final del retiro programado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Edad hasta la que se distribuye el ROP en retiro programado</w:t>
            </w:r>
          </w:p>
        </w:tc>
      </w:tr>
      <w:tr>
        <w:tc>
          <w:tcPr>
            <w:tcW w:type="dxa" w:w="30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Carteras por perfil</w:t>
            </w:r>
          </w:p>
        </w:tc>
        <w:tc>
          <w:tcPr>
            <w:tcW w:type="dxa" w:w="2100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de la sección 1.4</w:t>
            </w:r>
          </w:p>
        </w:tc>
        <w:tc>
          <w:tcPr>
            <w:tcW w:type="dxa" w:w="3926"/>
            <w:tcBorders>
              <w:top w:val="single" w:color="C6CCB4" w:sz="4"/>
              <w:left w:val="single" w:color="C6CCB4" w:sz="4"/>
              <w:bottom w:val="single" w:color="C6CCB4" w:sz="4"/>
              <w:right w:val="single" w:color="C6CC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Rendimiento esperado que usa la proyección (columna N)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5E44"/>
        <w:sz w:val="16"/>
        <w:szCs w:val="16"/>
      </w:rPr>
      <w:t xml:space="preserve">Chotocruz &amp; Co. · Metodología · documento interno · página </w:t>
    </w:r>
    <w:r>
      <w:rPr>
        <w:color w:val="5A5E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01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918042" w:sz="6" w:space="4"/>
      </w:pBdr>
      <w:spacing w:after="160" w:before="360"/>
      <w:outlineLvl w:val="0"/>
    </w:pPr>
    <w:rPr>
      <w:b/>
      <w:bCs/>
      <w:color w:val="2B30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91804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2B301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Metodología del sistema de perfil de riesgo y planificación financiera</dc:title>
  <dc:creator>Chotocruz &amp; Co.</dc:creator>
  <cp:lastModifiedBy>Un-named</cp:lastModifiedBy>
  <cp:revision>1</cp:revision>
  <dcterms:created xsi:type="dcterms:W3CDTF">2026-10-08T21:02:02.961Z</dcterms:created>
  <dcterms:modified xsi:type="dcterms:W3CDTF">2026-10-08T21:02:02.962Z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