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918042"/>
          <w:spacing w:val="40"/>
          <w:sz w:val="22"/>
          <w:szCs w:val="22"/>
        </w:rPr>
        <w:t xml:space="preserve">CHOTOCRUZ &amp; CO.</w:t>
      </w:r>
    </w:p>
    <w:p>
      <w:pPr>
        <w:spacing w:after="200"/>
      </w:pPr>
      <w:r>
        <w:rPr>
          <w:b/>
          <w:bCs/>
          <w:color w:val="2B3014"/>
          <w:sz w:val="44"/>
          <w:szCs w:val="44"/>
        </w:rPr>
        <w:t xml:space="preserve">Metodología del sistema de perfil de riesgo y planificación financiera</w:t>
      </w:r>
    </w:p>
    <w:p>
      <w:pPr>
        <w:pBdr>
          <w:bottom w:val="single" w:color="918042" w:sz="12" w:space="8"/>
        </w:pBdr>
        <w:spacing w:after="600"/>
      </w:pPr>
      <w:r>
        <w:rPr>
          <w:color w:val="5A5E44"/>
          <w:sz w:val="26"/>
          <w:szCs w:val="26"/>
        </w:rPr>
        <w:t xml:space="preserve">Perfil de riesgo, proyección del portafolio, rendimiento de equilibrio y cartera de equilibrio</w:t>
      </w:r>
    </w:p>
    <w:p>
      <w:pPr>
        <w:spacing w:after="120" w:line="300"/>
      </w:pPr>
      <w:r>
        <w:rPr>
          <w:b/>
          <w:bCs/>
        </w:rPr>
        <w:t xml:space="preserve">Área: </w:t>
      </w:r>
      <w:r>
        <w:t xml:space="preserve">Datos y Analítica</w:t>
      </w:r>
    </w:p>
    <w:p>
      <w:pPr>
        <w:spacing w:after="120" w:line="300"/>
      </w:pPr>
      <w:r>
        <w:rPr>
          <w:b/>
          <w:bCs/>
        </w:rPr>
        <w:t xml:space="preserve">Versión: </w:t>
      </w:r>
      <w:r>
        <w:t xml:space="preserve">1.2 · octubre de 2026</w:t>
      </w:r>
    </w:p>
    <w:p>
      <w:pPr>
        <w:spacing w:after="120" w:line="300"/>
      </w:pPr>
      <w:r>
        <w:rPr>
          <w:b/>
          <w:bCs/>
        </w:rPr>
        <w:t xml:space="preserve">Clasificación: </w:t>
      </w:r>
      <w:r>
        <w:t xml:space="preserve">Documento interno</w:t>
      </w:r>
    </w:p>
    <w:p>
      <w:pPr>
        <w:spacing w:after="120" w:line="300"/>
      </w:pPr>
      <w:r>
        <w:rPr>
          <w:b/>
          <w:bCs/>
        </w:rPr>
        <w:t xml:space="preserve">Alcance: </w:t>
      </w:r>
      <w:r>
        <w:t xml:space="preserve">Cuestionario del cliente (familias y personas, e instituciones), panel del asesor, plantillas de Excel, ficha PDF y archivo consolidado para Power BI.</w:t>
      </w:r>
    </w:p>
    <w:p>
      <w:r>
        <w:br w:type="page"/>
      </w:r>
    </w:p>
    <w:p>
      <w:pPr>
        <w:spacing w:after="200"/>
      </w:pPr>
      <w:r>
        <w:rPr>
          <w:b/>
          <w:bCs/>
          <w:color w:val="2B3014"/>
          <w:sz w:val="30"/>
          <w:szCs w:val="30"/>
        </w:rPr>
        <w:t xml:space="preserve">Contenido</w:t>
      </w:r>
    </w:p>
    <w:p>
      <w:pPr>
        <w:spacing w:after="100"/>
      </w:pPr>
      <w:r>
        <w:rPr>
          <w:sz w:val="22"/>
          <w:szCs w:val="22"/>
        </w:rPr>
        <w:t xml:space="preserve">1. Propósito y alcance</w:t>
      </w:r>
    </w:p>
    <w:p>
      <w:pPr>
        <w:spacing w:after="100"/>
      </w:pPr>
      <w:r>
        <w:rPr>
          <w:sz w:val="22"/>
          <w:szCs w:val="22"/>
        </w:rPr>
        <w:t xml:space="preserve">2. Arquitectura del proceso</w:t>
      </w:r>
    </w:p>
    <w:p>
      <w:pPr>
        <w:spacing w:after="100"/>
      </w:pPr>
      <w:r>
        <w:rPr>
          <w:sz w:val="22"/>
          <w:szCs w:val="22"/>
        </w:rPr>
        <w:t xml:space="preserve">3. Fuentes de datos</w:t>
      </w:r>
    </w:p>
    <w:p>
      <w:pPr>
        <w:spacing w:after="100"/>
      </w:pPr>
      <w:r>
        <w:rPr>
          <w:sz w:val="22"/>
          <w:szCs w:val="22"/>
        </w:rPr>
        <w:t xml:space="preserve">4. Perfil de riesgo</w:t>
      </w:r>
    </w:p>
    <w:p>
      <w:pPr>
        <w:spacing w:after="100"/>
      </w:pPr>
      <w:r>
        <w:rPr>
          <w:sz w:val="22"/>
          <w:szCs w:val="22"/>
        </w:rPr>
        <w:t xml:space="preserve">5. Carteras modelo</w:t>
      </w:r>
    </w:p>
    <w:p>
      <w:pPr>
        <w:spacing w:after="100"/>
      </w:pPr>
      <w:r>
        <w:rPr>
          <w:sz w:val="22"/>
          <w:szCs w:val="22"/>
        </w:rPr>
        <w:t xml:space="preserve">6. Supuestos del asesor</w:t>
      </w:r>
    </w:p>
    <w:p>
      <w:pPr>
        <w:spacing w:after="100"/>
      </w:pPr>
      <w:r>
        <w:rPr>
          <w:sz w:val="22"/>
          <w:szCs w:val="22"/>
        </w:rPr>
        <w:t xml:space="preserve">7. Proyección de familias y personas</w:t>
      </w:r>
    </w:p>
    <w:p>
      <w:pPr>
        <w:spacing w:after="100"/>
      </w:pPr>
      <w:r>
        <w:rPr>
          <w:sz w:val="22"/>
          <w:szCs w:val="22"/>
        </w:rPr>
        <w:t xml:space="preserve">8. Proyección institucional</w:t>
      </w:r>
    </w:p>
    <w:p>
      <w:pPr>
        <w:spacing w:after="100"/>
      </w:pPr>
      <w:r>
        <w:rPr>
          <w:sz w:val="22"/>
          <w:szCs w:val="22"/>
        </w:rPr>
        <w:t xml:space="preserve">9. Rendimiento de equilibrio</w:t>
      </w:r>
    </w:p>
    <w:p>
      <w:pPr>
        <w:spacing w:after="100"/>
      </w:pPr>
      <w:r>
        <w:rPr>
          <w:sz w:val="22"/>
          <w:szCs w:val="22"/>
        </w:rPr>
        <w:t xml:space="preserve">10. Cartera de equilibrio</w:t>
      </w:r>
    </w:p>
    <w:p>
      <w:pPr>
        <w:spacing w:after="100"/>
      </w:pPr>
      <w:r>
        <w:rPr>
          <w:sz w:val="22"/>
          <w:szCs w:val="22"/>
        </w:rPr>
        <w:t xml:space="preserve">11. Productos de salida</w:t>
      </w:r>
    </w:p>
    <w:p>
      <w:pPr>
        <w:spacing w:after="100"/>
      </w:pPr>
      <w:r>
        <w:rPr>
          <w:sz w:val="22"/>
          <w:szCs w:val="22"/>
        </w:rPr>
        <w:t xml:space="preserve">12. Cambios metodológicos respecto del Excel de referencia</w:t>
      </w:r>
    </w:p>
    <w:p>
      <w:pPr>
        <w:spacing w:after="100"/>
      </w:pPr>
      <w:r>
        <w:rPr>
          <w:sz w:val="22"/>
          <w:szCs w:val="22"/>
        </w:rPr>
        <w:t xml:space="preserve">13. Validación y auditoría</w:t>
      </w:r>
    </w:p>
    <w:p>
      <w:pPr>
        <w:spacing w:after="100"/>
      </w:pPr>
      <w:r>
        <w:rPr>
          <w:sz w:val="22"/>
          <w:szCs w:val="22"/>
        </w:rPr>
        <w:t xml:space="preserve">14. Limitaciones y puntos abiertos</w:t>
      </w:r>
    </w:p>
    <w:p>
      <w:r>
        <w:br w:type="page"/>
      </w:r>
    </w:p>
    <w:p>
      <w:pPr>
        <w:pStyle w:val="Heading1"/>
      </w:pPr>
      <w:r>
        <w:t xml:space="preserve">1. Propósito y alcance</w:t>
      </w:r>
    </w:p>
    <w:p>
      <w:pPr>
        <w:spacing w:after="120" w:line="300"/>
      </w:pPr>
      <w:r>
        <w:t xml:space="preserve">Este documento describe cómo el sistema obtiene los datos del cliente, cómo calcula su perfil de riesgo, cómo proyecta su portafolio y cómo determina el rendimiento y la cartera de equilibrio. Para cada resultado se indica de qué pregunta del cuestionario o de qué supuesto proviene, y con qué fórmula se calcula, tanto en el panel del asesor como en el Excel.</w:t>
      </w:r>
    </w:p>
    <w:p>
      <w:pPr>
        <w:spacing w:after="120" w:line="300"/>
      </w:pPr>
      <w:r>
        <w:t xml:space="preserve">La proyección de familias y personas replica la hoja «Escenario X%» del Excel de referencia (Plan financiero – Escenarios, caso Esteban Zeledón). Las diferencias respecto de ese Excel son deliberadas y se documentan en la sección 12.</w:t>
      </w:r>
    </w:p>
    <w:p>
      <w:pPr>
        <w:spacing w:after="120" w:line="300"/>
      </w:pPr>
      <w:r>
        <w:t xml:space="preserve">El sistema no emite recomendaciones de inversión. Sus resultados son estimaciones bajo los supuestos señalados y sirven de insumo para el análisis del asesor.</w:t>
      </w:r>
    </w:p>
    <w:p>
      <w:pPr>
        <w:pStyle w:val="Heading1"/>
      </w:pPr>
      <w:r>
        <w:t xml:space="preserve">2. Arquitectura del proceso</w:t>
      </w:r>
    </w:p>
    <w:p>
      <w:pPr>
        <w:spacing w:after="120" w:line="300"/>
      </w:pPr>
      <w:r>
        <w:t xml:space="preserve">El proceso tiene cinco etapas:</w:t>
      </w:r>
    </w:p>
    <w:p>
      <w:pPr>
        <w:pStyle w:val="ListParagraph"/>
        <w:numPr>
          <w:ilvl w:val="0"/>
          <w:numId w:val="2"/>
        </w:numPr>
        <w:spacing w:after="60" w:line="290"/>
      </w:pPr>
      <w:r>
        <w:rPr>
          <w:b/>
          <w:bCs/>
        </w:rPr>
        <w:t xml:space="preserve">Página 0 (entrada). </w:t>
      </w:r>
      <w:r>
        <w:t xml:space="preserve">El cliente indica si es una familia o persona, o una institución. Esa elección define las páginas 1 y 3 que verá.</w:t>
      </w:r>
    </w:p>
    <w:p>
      <w:pPr>
        <w:pStyle w:val="ListParagraph"/>
        <w:numPr>
          <w:ilvl w:val="0"/>
          <w:numId w:val="2"/>
        </w:numPr>
        <w:spacing w:after="60" w:line="290"/>
      </w:pPr>
      <w:r>
        <w:rPr>
          <w:b/>
          <w:bCs/>
        </w:rPr>
        <w:t xml:space="preserve">Página 1 (identificación). </w:t>
      </w:r>
      <w:r>
        <w:t xml:space="preserve">Personas: nombre, apellidos, cédula, fecha de nacimiento, ocupación, estado civil, teléfono con código de país, correo y dirección. Instituciones: nombre, teléfono, correo y dirección.</w:t>
      </w:r>
    </w:p>
    <w:p>
      <w:pPr>
        <w:pStyle w:val="ListParagraph"/>
        <w:numPr>
          <w:ilvl w:val="0"/>
          <w:numId w:val="2"/>
        </w:numPr>
        <w:spacing w:after="60" w:line="290"/>
      </w:pPr>
      <w:r>
        <w:rPr>
          <w:b/>
          <w:bCs/>
        </w:rPr>
        <w:t xml:space="preserve">Página 2 (perfil de riesgo). </w:t>
      </w:r>
      <w:r>
        <w:t xml:space="preserve">Diez preguntas comunes a ambos tipos de cliente: nueve de tolerancia y apetito, y una de conocimiento.</w:t>
      </w:r>
    </w:p>
    <w:p>
      <w:pPr>
        <w:pStyle w:val="ListParagraph"/>
        <w:numPr>
          <w:ilvl w:val="0"/>
          <w:numId w:val="2"/>
        </w:numPr>
        <w:spacing w:after="60" w:line="290"/>
      </w:pPr>
      <w:r>
        <w:rPr>
          <w:b/>
          <w:bCs/>
        </w:rPr>
        <w:t xml:space="preserve">Página 3 (planificación). </w:t>
      </w:r>
      <w:r>
        <w:t xml:space="preserve">Personas: 16 preguntas sobre hogar, ingresos, gastos, retiro, patrimonio, protección y metas. Instituciones: 13 preguntas sobre la institución, los datos de la proyección y la capacidad.</w:t>
      </w:r>
    </w:p>
    <w:p>
      <w:pPr>
        <w:pStyle w:val="ListParagraph"/>
        <w:numPr>
          <w:ilvl w:val="0"/>
          <w:numId w:val="2"/>
        </w:numPr>
        <w:spacing w:after="60" w:line="290"/>
      </w:pPr>
      <w:r>
        <w:rPr>
          <w:b/>
          <w:bCs/>
        </w:rPr>
        <w:t xml:space="preserve">Panel del asesor. </w:t>
      </w:r>
      <w:r>
        <w:t xml:space="preserve">El asesor fija los supuestos de mercado, revisa al cliente en la pestaña que corresponde (familias y personas, o instituciones) y genera el Excel, la ficha PDF y el consolidado CSV.</w:t>
      </w:r>
    </w:p>
    <w:p>
      <w:pPr>
        <w:spacing w:after="120" w:line="300"/>
      </w:pPr>
      <w:r>
        <w:t xml:space="preserve">Las respuestas se guardan como un archivo JSON por cliente en la carpeta data/clientes del repositorio del proyecto piloto. El campo tipoCliente («persona» o «institucion») separa ambos tipos en el panel. En esta etapa piloto el repositorio es público y solo debe contener datos ficticios; la migración prevista a un servidor Azure resolverá el almacenamiento de datos personales.</w:t>
      </w:r>
    </w:p>
    <w:p>
      <w:pPr>
        <w:pStyle w:val="Heading1"/>
      </w:pPr>
      <w:r>
        <w:t xml:space="preserve">3. Fuentes de datos</w:t>
      </w:r>
    </w:p>
    <w:p>
      <w:pPr>
        <w:spacing w:after="120" w:line="300"/>
      </w:pPr>
      <w:r>
        <w:t xml:space="preserve">Las siguientes tablas indican, para cada dato que interviene en un cálculo, de dónde proviene y para qué se usa.</w:t>
      </w:r>
    </w:p>
    <w:p>
      <w:pPr>
        <w:pStyle w:val="Heading2"/>
      </w:pPr>
      <w:r>
        <w:t xml:space="preserve">3.1 Familias y personas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Origen</w:t>
            </w:r>
          </w:p>
        </w:tc>
        <w:tc>
          <w:tcPr>
            <w:tcW w:type="dxa" w:w="3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actual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Fecha de nacimiento (página 1). Se recalcula al abrir el registro.</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Primera fila de la proyección; horizonte de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retiro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1</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Inicio de la fase de retiro; año de ingreso del ROP;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Hijos y otros dependientes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(número total de dependientes)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Salario del Excel (referencial)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Predictibilidad del ingreso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(0, 3, 7 o 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mensual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anual y retiro anual en la jubilación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esperado en el retiro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 (80%, 100% o 110%)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régimen y monto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anual durante el retiro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Saldos de ROP y FCL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puntuales al portafolio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inicial y aporte anual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y aportes durante la acumulación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 en el patrimonio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(0, 3, 7 o 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retiro del portafolio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8</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genera un aviso si ocurre más de 5 años antes del retiro laboral. No entra en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 específicas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13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puntuales del portafolio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Destino del patrimonio y herencia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14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del rendimiento de equilibrio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Moneda preferida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15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Pareja, vivienda, inmuebles, empresa, deudas, reserva, seguros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preguntas 2, 9, 10, 11 y 12</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se registran en la primera pestaña del Excel; no entran en la proyección</w:t>
            </w:r>
          </w:p>
        </w:tc>
      </w:tr>
    </w:tbl>
    <w:p>
      <w:pPr>
        <w:spacing w:after="80"/>
      </w:pPr>
    </w:p>
    <w:p>
      <w:pPr>
        <w:pStyle w:val="Heading2"/>
      </w:pPr>
      <w:r>
        <w:t xml:space="preserve">3.2 Instituciones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Origen</w:t>
            </w:r>
          </w:p>
        </w:tc>
        <w:tc>
          <w:tcPr>
            <w:tcW w:type="dxa" w:w="3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institución y objetivo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preguntas 1 y 2</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 del año 1</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4 (1 a 60 años)</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Número de años proyectados;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anual y retiro anual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preguntas 5 y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Flujos anuales indexados a la inflación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extraordinarios (hasta 3)</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puntuales en el año indicado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 final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8</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del rendimiento de equilibrio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 en los activos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9</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 los ingresos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10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Política o regulación de inversión</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3, pregunta 11</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bl>
    <w:p>
      <w:pPr>
        <w:spacing w:after="80"/>
      </w:pPr>
    </w:p>
    <w:p>
      <w:pPr>
        <w:spacing w:after="120" w:line="300"/>
      </w:pPr>
      <w:r>
        <w:rPr>
          <w:b/>
          <w:bCs/>
        </w:rPr>
        <w:t xml:space="preserve">Conversión de moneda. </w:t>
      </w:r>
      <w:r>
        <w:t xml:space="preserve">Los montos declarados en colones se convierten a dólares con el tipo de cambio de los supuestos. Los montos que el cuestionario pide «en dólares de hoy» (ROP, FCL, metas, herencia, capital mínimo, retiros extraordinarios) se expresan en poder adquisitivo actual y la proyección los indexa con la inflación hasta el año en que ocurren.</w:t>
      </w:r>
    </w:p>
    <w:p>
      <w:pPr>
        <w:pStyle w:val="Heading1"/>
      </w:pPr>
      <w:r>
        <w:t xml:space="preserve">4. Perfil de riesgo</w:t>
      </w:r>
    </w:p>
    <w:p>
      <w:pPr>
        <w:spacing w:after="120" w:line="300"/>
      </w:pPr>
      <w:r>
        <w:t xml:space="preserve">El cuestionario mide cuatro dimensiones distintas que no se suman entre sí. La tolerancia y el apetito definen la disposición del cliente; la capacidad y el conocimiento solo pueden bajar el perfil resultante, nunca subirlo.</w:t>
      </w:r>
    </w:p>
    <w:p>
      <w:pPr>
        <w:pStyle w:val="Heading2"/>
      </w:pPr>
      <w:r>
        <w:t xml:space="preserve">4.1 Reactivos de la página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026"/>
      </w:tblGrid>
      <w:tr>
        <w:trPr>
          <w:tblHeader/>
        </w:trPr>
        <w:tc>
          <w:tcPr>
            <w:tcW w:type="dxa" w:w="3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Pregunta</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Dimensión</w:t>
            </w:r>
          </w:p>
        </w:tc>
        <w:tc>
          <w:tcPr>
            <w:tcW w:type="dxa" w:w="4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Escala de respuestas</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Q1. Qué le viene a la mente con la palabra «riesgo»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Pérdida 0 · Incertidumbre 3 · Oportunidad 7 · Emoción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Q2. Frecuencia con que revisaría el valor del portafolio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Varias veces por semana 0 · Mensual 3 · Trimestral 7 · Una o dos veces al año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Q4. Qué hizo la última vez que una inversión perdió valor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Vendió 0 · Redujo 3 · Mantuvo 7 · Aumentó 10 · No aplica (sale del promedio)</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Q5. Decisión con información incompleta</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Espera 0 · Consulta 3 · Decide y ajusta 7 · Decide rápido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Cuánto mantendría la estrategia sin recuperación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un año 0 · Dos años 3 · Tres o cuatro años 7 · El tiempo necesario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Q3. Qué incomoda más: perder 20% o dejar de ganar 20%</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Perder 0 · Ambas 5 · Dejar de ganar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Q6. Combinación aceptable de retorno y caída máxima</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 · 3 · 6 · 8 · 10 según el binomio retorno–caída</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Q7. Reparto del esfuerzo entre aporte y rendimiento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Aportar más 0 · 3 · 7 · Que rinda el portafolio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Q8. Destino de un excedente extraordinario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Liquidez 0 · Deuda 2 · Reparto 5 · Reinvertir 8 · Nueva oportunidad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C6. Conocimiento y experiencia en inversiones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Conocimiento</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Ninguno 0 · Limitado 3 · Bueno 7 · Extenso 10</w:t>
            </w:r>
          </w:p>
        </w:tc>
      </w:tr>
    </w:tbl>
    <w:p>
      <w:pPr>
        <w:spacing w:after="80"/>
      </w:pPr>
    </w:p>
    <w:p>
      <w:pPr>
        <w:pStyle w:val="Heading2"/>
      </w:pPr>
      <w:r>
        <w:t xml:space="preserve">4.2 Tolerancia, apetito y disposición</w:t>
      </w:r>
    </w:p>
    <w:p>
      <w:pPr>
        <w:shd w:fill="F4F5EE" w:color="auto" w:val="clear"/>
        <w:spacing w:after="120" w:before="60"/>
        <w:ind w:left="360"/>
      </w:pPr>
      <w:r>
        <w:rPr>
          <w:rFonts w:ascii="Consolas" w:cs="Consolas" w:eastAsia="Consolas" w:hAnsi="Consolas"/>
          <w:color w:val="2B3014"/>
          <w:sz w:val="19"/>
          <w:szCs w:val="19"/>
        </w:rPr>
        <w:t xml:space="preserve">Tolerancia = promedio(Q1, Q2, Q4, Q5, Q9)    (Q4 sale del promedio si es «no aplica»)</w:t>
      </w:r>
    </w:p>
    <w:p>
      <w:pPr>
        <w:shd w:fill="F4F5EE" w:color="auto" w:val="clear"/>
        <w:spacing w:after="120" w:before="60"/>
        <w:ind w:left="360"/>
      </w:pPr>
      <w:r>
        <w:rPr>
          <w:rFonts w:ascii="Consolas" w:cs="Consolas" w:eastAsia="Consolas" w:hAnsi="Consolas"/>
          <w:color w:val="2B3014"/>
          <w:sz w:val="19"/>
          <w:szCs w:val="19"/>
        </w:rPr>
        <w:t xml:space="preserve">Apetito = promedio(Q3, Q6, Q7, Q8)</w:t>
      </w:r>
    </w:p>
    <w:p>
      <w:pPr>
        <w:shd w:fill="F4F5EE" w:color="auto" w:val="clear"/>
        <w:spacing w:after="120" w:before="60"/>
        <w:ind w:left="360"/>
      </w:pPr>
      <w:r>
        <w:rPr>
          <w:rFonts w:ascii="Consolas" w:cs="Consolas" w:eastAsia="Consolas" w:hAnsi="Consolas"/>
          <w:color w:val="2B3014"/>
          <w:sz w:val="19"/>
          <w:szCs w:val="19"/>
        </w:rPr>
        <w:t xml:space="preserve">Disposición = (Tolerancia + Apetito) / 2</w:t>
      </w:r>
    </w:p>
    <w:p>
      <w:pPr>
        <w:spacing w:after="120" w:line="300"/>
      </w:pPr>
      <w:r>
        <w:t xml:space="preserve">Nivel de la disposición: menor que 4, conservador; de 4 a 7, moderado; mayor que 7, agresivo.</w:t>
      </w:r>
    </w:p>
    <w:p>
      <w:pPr>
        <w:pStyle w:val="Heading2"/>
      </w:pPr>
      <w:r>
        <w:t xml:space="preserve">4.3 Capacidad financiera</w:t>
      </w:r>
    </w:p>
    <w:p>
      <w:pPr>
        <w:spacing w:after="120" w:line="300"/>
      </w:pPr>
      <w:r>
        <w:t xml:space="preserve">Promedio simple de los componentes disponibles, cada uno en escala de 0 a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Componente</w:t>
            </w:r>
          </w:p>
        </w:tc>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Familias y personas</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Instituciones</w:t>
            </w:r>
          </w:p>
        </w:tc>
        <w:tc>
          <w:tcPr>
            <w:tcW w:type="dxa" w:w="2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Tramos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retiro − edad actual</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 declarado</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5 años 0 · 5 a 9 años 3 · 10 a 14 años 7 · 15 o más 10</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del ingreso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Predictibilidad del ingreso del hogar</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 los ingresos</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 · 3 · 7 · 10 según la respuesta</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Dependientes</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Hijos + otros dependientes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aplica</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 o más 0 · 3 → 3 · 1 o 2 → 7 · ninguno 10</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del patrimonio invertible</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 los activos o reservas</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Prácticamente todo 0 · Más de la mitad 3 · Entre un cuarto y la mitad 7 · Menos de un cuarto 10</w:t>
            </w:r>
          </w:p>
        </w:tc>
      </w:tr>
    </w:tbl>
    <w:p>
      <w:pPr>
        <w:spacing w:after="80"/>
      </w:pPr>
    </w:p>
    <w:p>
      <w:pPr>
        <w:pStyle w:val="Heading2"/>
      </w:pPr>
      <w:r>
        <w:t xml:space="preserve">4.4 Asignación del perfil</w:t>
      </w:r>
    </w:p>
    <w:p>
      <w:pPr>
        <w:pStyle w:val="ListParagraph"/>
        <w:numPr>
          <w:ilvl w:val="0"/>
          <w:numId w:val="2"/>
        </w:numPr>
        <w:spacing w:after="60" w:line="290"/>
      </w:pPr>
      <w:r>
        <w:t xml:space="preserve">Se parte del nivel de la disposición.</w:t>
      </w:r>
    </w:p>
    <w:p>
      <w:pPr>
        <w:pStyle w:val="ListParagraph"/>
        <w:numPr>
          <w:ilvl w:val="0"/>
          <w:numId w:val="2"/>
        </w:numPr>
        <w:spacing w:after="60" w:line="290"/>
      </w:pPr>
      <w:r>
        <w:t xml:space="preserve">Si el nivel de la capacidad (mismos umbrales 4 y 7) es menor, el perfil baja a ese nivel.</w:t>
      </w:r>
    </w:p>
    <w:p>
      <w:pPr>
        <w:pStyle w:val="ListParagraph"/>
        <w:numPr>
          <w:ilvl w:val="0"/>
          <w:numId w:val="2"/>
        </w:numPr>
        <w:spacing w:after="60" w:line="290"/>
      </w:pPr>
      <w:r>
        <w:t xml:space="preserve">Conocimiento: con 0 el techo es conservador; con 3 o menos, moderado; con más de 3, no limita.</w:t>
      </w:r>
    </w:p>
    <w:p>
      <w:pPr>
        <w:pStyle w:val="ListParagraph"/>
        <w:numPr>
          <w:ilvl w:val="0"/>
          <w:numId w:val="2"/>
        </w:numPr>
        <w:spacing w:after="60" w:line="290"/>
      </w:pPr>
      <w:r>
        <w:t xml:space="preserve">El panel y el Excel indican el factor limitante cuando la capacidad o el conocimiento bajaron el perfil.</w:t>
      </w:r>
    </w:p>
    <w:p>
      <w:pPr>
        <w:pStyle w:val="Heading2"/>
      </w:pPr>
      <w:r>
        <w:t xml:space="preserve">4.5 Puntaje del cliente</w:t>
      </w:r>
    </w:p>
    <w:p>
      <w:pPr>
        <w:shd w:fill="F4F5EE" w:color="auto" w:val="clear"/>
        <w:spacing w:after="120" w:before="60"/>
        <w:ind w:left="360"/>
      </w:pPr>
      <w:r>
        <w:rPr>
          <w:rFonts w:ascii="Consolas" w:cs="Consolas" w:eastAsia="Consolas" w:hAnsi="Consolas"/>
          <w:color w:val="2B3014"/>
          <w:sz w:val="19"/>
          <w:szCs w:val="19"/>
        </w:rPr>
        <w:t xml:space="preserve">Puntaje = promedio(Tolerancia, Apetito, Capacidad, Conocimiento)    (pesos iguales)</w:t>
      </w:r>
    </w:p>
    <w:p>
      <w:pPr>
        <w:spacing w:after="120" w:line="300"/>
      </w:pPr>
      <w:r>
        <w:t xml:space="preserve">El puntaje resume el atractivo del cliente para la firma; no interviene en la asignación del perfil. Se muestra en el panel, en el Excel y en la primera página de la ficha PDF, junto con la posición del cliente.</w:t>
      </w:r>
    </w:p>
    <w:p>
      <w:pPr>
        <w:pStyle w:val="Heading2"/>
      </w:pPr>
      <w:r>
        <w:t xml:space="preserve">4.6 Matriz de posición</w:t>
      </w:r>
    </w:p>
    <w:p>
      <w:pPr>
        <w:spacing w:after="120" w:line="300"/>
      </w:pPr>
      <w:r>
        <w:t xml:space="preserve">La matriz ubica al cliente en un plano de tolerancia (eje X) contra apetito (eje Y), dividido en cuatro cuadrantes en el punto 5. Es una representación visual; el perfil asignado se calcula como se describe en 4.2 a 4.4.</w:t>
      </w:r>
    </w:p>
    <w:p>
      <w:pPr>
        <w:pStyle w:val="Heading2"/>
      </w:pPr>
      <w:r>
        <w:t xml:space="preserve">4.7 Avisos al asesor</w:t>
      </w:r>
    </w:p>
    <w:p>
      <w:pPr>
        <w:spacing w:after="120" w:line="300"/>
      </w:pPr>
      <w:r>
        <w:t xml:space="preserve">El panel señala, sin alterar el cálculo: tolerancia y apetito separados por 3 puntos o más; aceptación de una caída profunda (Q6 ≥ 8) con poca paciencia (Q9 ≤ 3); primer retiro más de 5 años antes del retiro laboral; cliente ya retirado; ROP, FCL, metas o retiros extraordinarios fuera del horizonte; pregunta Q4 marcada como no aplica; perfil limitado por capacidad o conocimiento; y, en instituciones, capital mínimo superior al capital inicial.</w:t>
      </w:r>
    </w:p>
    <w:p>
      <w:pPr>
        <w:pStyle w:val="Heading1"/>
      </w:pPr>
      <w:r>
        <w:t xml:space="preserve">5. Carteras modelo</w:t>
      </w:r>
    </w:p>
    <w:p>
      <w:pPr>
        <w:spacing w:after="120" w:line="300"/>
      </w:pPr>
      <w:r>
        <w:t xml:space="preserve">Cada perfil tiene una cartera modelo con una composición fija y un rendimiento esperado anual. El riesgo de cada cartera se mide con su mezcla completa, rebalanceada cada año, sobre la serie histórica 1928–2025 de A. Damodaran (NYU Stern): S&amp;P 500 con dividendos para renta variable, bono del Tesoro a 10 años para renta fija y letra del Tesoro a 3 meses para efectivo.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100"/>
        <w:gridCol w:w="1000"/>
        <w:gridCol w:w="1500"/>
        <w:gridCol w:w="1300"/>
        <w:gridCol w:w="1426"/>
      </w:tblGrid>
      <w:tr>
        <w:trPr>
          <w:tblHeader/>
        </w:trPr>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Perfil</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variable</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fija</w:t>
            </w:r>
          </w:p>
        </w:tc>
        <w:tc>
          <w:tcPr>
            <w:tcW w:type="dxa" w:w="1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Efectivo</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Volatilidad anual</w:t>
            </w:r>
          </w:p>
        </w:tc>
        <w:tc>
          <w:tcPr>
            <w:tcW w:type="dxa" w:w="1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Peor año</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Conservador</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30%</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5,8%</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−11,9% (2022)</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35%</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12,0%</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−27,1% (1931)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Agresivo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18,4%</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−41,5% (1931)</w:t>
            </w:r>
          </w:p>
        </w:tc>
      </w:tr>
    </w:tbl>
    <w:p>
      <w:pPr>
        <w:spacing w:after="80"/>
      </w:pPr>
    </w:p>
    <w:p>
      <w:pPr>
        <w:shd w:fill="F4F5EE" w:color="auto" w:val="clear"/>
        <w:spacing w:after="120" w:before="60"/>
        <w:ind w:left="360"/>
      </w:pPr>
      <w:r>
        <w:rPr>
          <w:rFonts w:ascii="Consolas" w:cs="Consolas" w:eastAsia="Consolas" w:hAnsi="Consolas"/>
          <w:color w:val="2B3014"/>
          <w:sz w:val="19"/>
          <w:szCs w:val="19"/>
        </w:rPr>
        <w:t xml:space="preserve">Rendimiento de la cartera en el año h = (RV·S&amp;P_h + RF·Bono_h + EF·Letra_h) / 100</w:t>
      </w:r>
    </w:p>
    <w:p>
      <w:pPr>
        <w:shd w:fill="F4F5EE" w:color="auto" w:val="clear"/>
        <w:spacing w:after="120" w:before="60"/>
        <w:ind w:left="360"/>
      </w:pPr>
      <w:r>
        <w:rPr>
          <w:rFonts w:ascii="Consolas" w:cs="Consolas" w:eastAsia="Consolas" w:hAnsi="Consolas"/>
          <w:color w:val="2B3014"/>
          <w:sz w:val="19"/>
          <w:szCs w:val="19"/>
        </w:rPr>
        <w:t xml:space="preserve">Volatilidad = desviación estándar muestral de esa serie anual</w:t>
      </w:r>
    </w:p>
    <w:p>
      <w:pPr>
        <w:pStyle w:val="Heading1"/>
      </w:pPr>
      <w:r>
        <w:t xml:space="preserve">6. Supuestos del asesor</w:t>
      </w:r>
    </w:p>
    <w:p>
      <w:pPr>
        <w:spacing w:after="120" w:line="300"/>
      </w:pPr>
      <w:r>
        <w:t xml:space="preserve">Los fija el asesor en la pantalla de supuestos del panel; no los aporta el cliente. Quedan guardados en el navegador y se registran en la primera pestaña de cada Excel.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200"/>
        <w:gridCol w:w="37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Supuesto</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Valor por defecto</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Aplica a</w:t>
            </w:r>
          </w:p>
        </w:tc>
        <w:tc>
          <w:tcPr>
            <w:tcW w:type="dxa" w:w="3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cambio ₡/US$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450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Conversión de montos en colones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general</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3,9%</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aportes y retiros institucionales, montos en dólares de hoy y valor real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ingresos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 (el Excel original indexa el salario con la inflación general)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pensión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Indexación de la pensión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salud y ajuste de alquileres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 y 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Referenciales; no intervienen en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inicio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en curso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año de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 de la proyección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Última fila de la proyección (el Excel original llega a 120)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ingreso del FCL</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la proyección en que entra el FCL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en el retiro si lo prevé menor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en el retiro si lo prevé mayor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w:t>
            </w:r>
          </w:p>
        </w:tc>
      </w:tr>
    </w:tbl>
    <w:p>
      <w:pPr>
        <w:pStyle w:val="Heading1"/>
      </w:pPr>
      <w:r>
        <w:t xml:space="preserve">7. Proyección de familias y personas</w:t>
      </w:r>
    </w:p>
    <w:p>
      <w:pPr>
        <w:spacing w:after="120" w:line="300"/>
      </w:pPr>
      <w:r>
        <w:t xml:space="preserve">La proyección tiene una fila por año, desde la edad actual (fila 9 del Excel, año 1) hasta la edad final. La etapa de acumulación va desde la edad actual hasta un año antes de la edad de retiro; la etapa de retiro empieza en el año en que el cliente cumple la edad de retiro. Si el cliente ya está retirado, la proyección arranca directamente en la etapa de retiro.</w:t>
      </w:r>
    </w:p>
    <w:p>
      <w:pPr>
        <w:pStyle w:val="Heading2"/>
      </w:pPr>
      <w:r>
        <w:t xml:space="preserve">7.1 Fórmulas año a año</w:t>
      </w:r>
    </w:p>
    <w:p>
      <w:pPr>
        <w:spacing w:after="120" w:line="300"/>
      </w:pPr>
      <w:r>
        <w:t xml:space="preserve">Notación: t es el año de la proyección (columna D), inf la inflación general (D3), r el rendimiento del perfil (N), a el número de años de acumulación.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rPr>
          <w:tblHeader/>
        </w:trPr>
        <w:tc>
          <w:tcPr>
            <w:tcW w:type="dxa" w:w="18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 del Excel</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Concepto</w:t>
            </w:r>
          </w:p>
        </w:tc>
        <w:tc>
          <w:tcPr>
            <w:tcW w:type="dxa" w:w="46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Período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inicio + t − 1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actual + t − 1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Salario mensual (₡)</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Salario × tipo de cambio × (1+inf)^(t−1); solo en acumulación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 / H</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anual (₡ y US$)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 × 12 × (1+inf)^(t−1)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 12</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inicial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en t = 1; Q del año anterior después</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Aportes / retiros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Acumulación: aporte anual fijo. Retiro: −H × factor de gasto</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 del portafolio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 / K</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 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 ; O = K × 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Resultado neto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 + L</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nominal final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 + P (+ S + T + U cuando existen)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en términos reales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 / (1+inf)^t</w:t>
            </w:r>
          </w:p>
        </w:tc>
      </w:tr>
    </w:tbl>
    <w:p>
      <w:pPr>
        <w:spacing w:after="80"/>
      </w:pPr>
    </w:p>
    <w:p>
      <w:pPr>
        <w:pStyle w:val="Heading2"/>
      </w:pPr>
      <w:r>
        <w:t xml:space="preserve">7.2 Columnas condicionales</w:t>
      </w:r>
    </w:p>
    <w:p>
      <w:pPr>
        <w:spacing w:after="120" w:line="300"/>
      </w:pPr>
      <w:r>
        <w:t xml:space="preserve">Estas columnas aparecen solo cuando el cliente declara el dato correspondiente. Sin ellas, la hoja es igual al Excel de referencia, salvo la corrección de la sección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300"/>
        <w:gridCol w:w="23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Se activa si…</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Insumos en la hoja</w:t>
            </w:r>
          </w:p>
        </w:tc>
        <w:tc>
          <w:tcPr>
            <w:tcW w:type="dxa" w:w="23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 · Ingreso extraordinario (ROP y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cliente incorpora ROP, FCL o ambos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G1:H4: saldo y año de cada fondo</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FCL en el año de ingreso y ROP en el año a + 1: saldo × (1+inf)^(t−1)</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 · Pensión anual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Declara un régimen de pensión con monto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L1: pensión mensual en US$ de hoy; D4: inflación de pensión</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en retiro: L1 × 12 × (1+D4)^(t−1)</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 · Metas (salidas)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Registra metas específicas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N1:U2: año y monto de hasta 8 metas</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 gasto en 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Prevé un gasto menor o mayor en el retiro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L2: porcentaje del gasto</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En retiro: L = −H × L2</w:t>
            </w:r>
          </w:p>
        </w:tc>
      </w:tr>
    </w:tbl>
    <w:p>
      <w:pPr>
        <w:spacing w:after="80"/>
      </w:pPr>
    </w:p>
    <w:p>
      <w:pPr>
        <w:spacing w:after="120" w:line="300"/>
      </w:pPr>
      <w:r>
        <w:t xml:space="preserve">Las columnas se ordenan S, T, U según las que apliquen; si solo aplica la pensión, ocupa la columna S. Todas las celdas de insumos se pueden editar en el Excel y la proyección se recalcula sola.</w:t>
      </w:r>
    </w:p>
    <w:p>
      <w:pPr>
        <w:pStyle w:val="Heading2"/>
      </w:pPr>
      <w:r>
        <w:t xml:space="preserve">7.3 Indicadores</w:t>
      </w:r>
    </w:p>
    <w:p>
      <w:pPr>
        <w:pStyle w:val="ListParagraph"/>
        <w:numPr>
          <w:ilvl w:val="0"/>
          <w:numId w:val="2"/>
        </w:numPr>
        <w:spacing w:after="60" w:line="290"/>
      </w:pPr>
      <w:r>
        <w:rPr>
          <w:b/>
          <w:bCs/>
        </w:rPr>
        <w:t xml:space="preserve">Portafolio al retiro: </w:t>
      </w:r>
      <w:r>
        <w:t xml:space="preserve">Q del último año de acumulación (capital actual si ya está retirado).</w:t>
      </w:r>
    </w:p>
    <w:p>
      <w:pPr>
        <w:pStyle w:val="ListParagraph"/>
        <w:numPr>
          <w:ilvl w:val="0"/>
          <w:numId w:val="2"/>
        </w:numPr>
        <w:spacing w:after="60" w:line="290"/>
      </w:pPr>
      <w:r>
        <w:rPr>
          <w:b/>
          <w:bCs/>
        </w:rPr>
        <w:t xml:space="preserve">Tasa de retiro inicial: </w:t>
      </w:r>
      <w:r>
        <w:t xml:space="preserve">|M| del primer año de retiro.</w:t>
      </w:r>
    </w:p>
    <w:p>
      <w:pPr>
        <w:pStyle w:val="ListParagraph"/>
        <w:numPr>
          <w:ilvl w:val="0"/>
          <w:numId w:val="2"/>
        </w:numPr>
        <w:spacing w:after="60" w:line="290"/>
      </w:pPr>
      <w:r>
        <w:rPr>
          <w:b/>
          <w:bCs/>
        </w:rPr>
        <w:t xml:space="preserve">Edad a la que se agota: </w:t>
      </w:r>
      <w:r>
        <w:t xml:space="preserve">primera edad con Q negativo.</w:t>
      </w:r>
    </w:p>
    <w:p>
      <w:pPr>
        <w:pStyle w:val="ListParagraph"/>
        <w:numPr>
          <w:ilvl w:val="0"/>
          <w:numId w:val="2"/>
        </w:numPr>
        <w:spacing w:after="60" w:line="290"/>
      </w:pPr>
      <w:r>
        <w:rPr>
          <w:b/>
          <w:bCs/>
        </w:rPr>
        <w:t xml:space="preserve">Portafolio final real: </w:t>
      </w:r>
      <w:r>
        <w:t xml:space="preserve">R del último año.</w:t>
      </w:r>
    </w:p>
    <w:p>
      <w:pPr>
        <w:pStyle w:val="Heading1"/>
      </w:pPr>
      <w:r>
        <w:t xml:space="preserve">8. Proyección institucional</w:t>
      </w:r>
    </w:p>
    <w:p>
      <w:pPr>
        <w:spacing w:after="120" w:line="300"/>
      </w:pPr>
      <w:r>
        <w:t xml:space="preserve">Una fila por año durante el horizonte de inversión (máximo 60 años), a partir de la fila 12 de la hoja Proyección. Los insumos están en D1:D8 (tipo de cambio, inflación, rendimiento del perfil, capital, aporte, retiro, capital mínimo y horizonte) y en I3:J5 (año y monto de hasta tres retiros extraordinarios).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926"/>
      </w:tblGrid>
      <w:tr>
        <w:trPr>
          <w:tblHeader/>
        </w:trPr>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Concepto</w:t>
            </w:r>
          </w:p>
        </w:tc>
        <w:tc>
          <w:tcPr>
            <w:tcW w:type="dxa" w:w="4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 C</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y período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 ; año de inicio + t − 1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en t = 1; saldo final del año anterior después</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anual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ordinario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anual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extraordinario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 × r</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final nominal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 + H + E + F + G</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J</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final real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 / (1+inf)^t</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mínima nominal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 × (1+inf)^t</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mínima en dólares de hoy</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w:t>
            </w:r>
          </w:p>
        </w:tc>
      </w:tr>
    </w:tbl>
    <w:p>
      <w:pPr>
        <w:spacing w:after="80"/>
      </w:pPr>
    </w:p>
    <w:p>
      <w:pPr>
        <w:spacing w:after="120" w:line="300"/>
      </w:pPr>
      <w:r>
        <w:t xml:space="preserve">El rendimiento se aplica al saldo inicial y los flujos entran al cierre del año, la misma convención de la proyección de personas.</w:t>
      </w:r>
    </w:p>
    <w:p>
      <w:pPr>
        <w:pStyle w:val="Heading1"/>
      </w:pPr>
      <w:r>
        <w:t xml:space="preserve">9. Rendimiento de equilibrio</w:t>
      </w:r>
    </w:p>
    <w:p>
      <w:pPr>
        <w:spacing w:after="120" w:line="300"/>
      </w:pPr>
      <w:r>
        <w:t xml:space="preserve">Es el rendimiento anual mínimo con el que el plan alcanza su objetivo bajo los supuestos vigentes:</w:t>
      </w:r>
    </w:p>
    <w:p>
      <w:pPr>
        <w:pStyle w:val="ListParagraph"/>
        <w:numPr>
          <w:ilvl w:val="0"/>
          <w:numId w:val="2"/>
        </w:numPr>
        <w:spacing w:after="60" w:line="290"/>
      </w:pPr>
      <w:r>
        <w:rPr>
          <w:b/>
          <w:bCs/>
        </w:rPr>
        <w:t xml:space="preserve">Familias y personas: </w:t>
      </w:r>
      <w:r>
        <w:t xml:space="preserve">el portafolio no queda negativo en ningún año hasta la edad final y, si el cliente pidió dejar herencia, el valor real final es al menos el monto de la herencia en dólares de hoy.</w:t>
      </w:r>
    </w:p>
    <w:p>
      <w:pPr>
        <w:pStyle w:val="ListParagraph"/>
        <w:numPr>
          <w:ilvl w:val="0"/>
          <w:numId w:val="2"/>
        </w:numPr>
        <w:spacing w:after="60" w:line="290"/>
      </w:pPr>
      <w:r>
        <w:rPr>
          <w:b/>
          <w:bCs/>
        </w:rPr>
        <w:t xml:space="preserve">Instituciones: </w:t>
      </w:r>
      <w:r>
        <w:t xml:space="preserve">el saldo no queda negativo en ningún año del horizonte y el saldo real final es al menos el capital mínimo.</w:t>
      </w:r>
    </w:p>
    <w:p>
      <w:pPr>
        <w:spacing w:after="120" w:line="300"/>
      </w:pPr>
      <w:r>
        <w:t xml:space="preserve">Se calcula volviendo a correr la misma proyección con distintos rendimientos, por bisección entre 0% y 30% (40 iteraciones). Mientras el saldo es positivo, un rendimiento mayor deja un saldo mayor en cada año, por lo que la condición es monótona y la bisección converge al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Resultado</w:t>
            </w:r>
          </w:p>
        </w:tc>
        <w:tc>
          <w:tcPr>
            <w:tcW w:type="dxa" w:w="65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Interpretación</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Sin rendimiento</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objetivo se cumple aun con 0%.</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entre 0% y 30%</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mínimo necesario.</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Inalcanzable</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Ni con 30% se cumple: el plan requiere ajustes en gasto, aportes, retiros o metas.</w:t>
            </w:r>
          </w:p>
        </w:tc>
      </w:tr>
    </w:tbl>
    <w:p>
      <w:pPr>
        <w:spacing w:after="80"/>
      </w:pPr>
    </w:p>
    <w:p>
      <w:pPr>
        <w:spacing w:after="120" w:line="300"/>
      </w:pPr>
      <w:r>
        <w:rPr>
          <w:b/>
          <w:bCs/>
        </w:rPr>
        <w:t xml:space="preserve">Holgura o brecha: </w:t>
      </w:r>
      <w:r>
        <w:t xml:space="preserve">rendimiento de la cartera asignada menos el de equilibrio. </w:t>
      </w:r>
      <w:r>
        <w:rPr>
          <w:b/>
          <w:bCs/>
        </w:rPr>
        <w:t xml:space="preserve">Perfil que exige el objetivo: </w:t>
      </w:r>
      <w:r>
        <w:t xml:space="preserve">el perfil de menor riesgo cuya cartera rinde al menos el equilibrio.</w:t>
      </w:r>
    </w:p>
    <w:p>
      <w:pPr>
        <w:pStyle w:val="Heading1"/>
      </w:pPr>
      <w:r>
        <w:t xml:space="preserve">10. Cartera de equilibrio</w:t>
      </w:r>
    </w:p>
    <w:p>
      <w:pPr>
        <w:spacing w:after="120" w:line="300"/>
      </w:pPr>
      <w:r>
        <w:t xml:space="preserve">La cartera de equilibrio es la combinación de carteras modelo que rinde exactamente el rendimiento de equilibrio con el menor riesgo posible. Se obtiene mezclando las dos carteras modelo vecinas:</w:t>
      </w:r>
    </w:p>
    <w:p>
      <w:pPr>
        <w:shd w:fill="F4F5EE" w:color="auto" w:val="clear"/>
        <w:spacing w:after="120" w:before="60"/>
        <w:ind w:left="360"/>
      </w:pPr>
      <w:r>
        <w:rPr>
          <w:rFonts w:ascii="Consolas" w:cs="Consolas" w:eastAsia="Consolas" w:hAnsi="Consolas"/>
          <w:color w:val="2B3014"/>
          <w:sz w:val="19"/>
          <w:szCs w:val="19"/>
        </w:rPr>
        <w:t xml:space="preserve">w = (r_eq − r_A) / (r_B − r_A)</w:t>
      </w:r>
    </w:p>
    <w:p>
      <w:pPr>
        <w:shd w:fill="F4F5EE" w:color="auto" w:val="clear"/>
        <w:spacing w:after="120" w:before="60"/>
        <w:ind w:left="360"/>
      </w:pPr>
      <w:r>
        <w:rPr>
          <w:rFonts w:ascii="Consolas" w:cs="Consolas" w:eastAsia="Consolas" w:hAnsi="Consolas"/>
          <w:color w:val="2B3014"/>
          <w:sz w:val="19"/>
          <w:szCs w:val="19"/>
        </w:rPr>
        <w:t xml:space="preserve">Composición = (1 − w) · Cartera A + w · Cartera B        Rendimiento = r_eq</w:t>
      </w:r>
    </w:p>
    <w:p>
      <w:pPr>
        <w:spacing w:after="120" w:line="300"/>
      </w:pPr>
      <w:r>
        <w:t xml:space="preserve">A y B son las carteras conservadora y moderada si el equilibrio está entre 5% y 7%, o moderada y agresiva si está entre 7% y 8%. El riesgo de la mezcla se mide igual que el de las carteras modelo (sección 5).</w:t>
      </w:r>
    </w:p>
    <w:p>
      <w:pPr>
        <w:spacing w:after="120" w:line="300"/>
      </w:pPr>
      <w:r>
        <w:rPr>
          <w:b/>
          <w:bCs/>
        </w:rPr>
        <w:t xml:space="preserve">Ejemplo. </w:t>
      </w:r>
      <w:r>
        <w:t xml:space="preserve">Con un equilibrio de 6,65%: w = (6,65 − 5) / (7 − 5) = 0,825. La composición es 0,175 × (20/50/30) + 0,825 × (60/35/5) = 53,0% renta variable, 37,6% renta fija y 9,4% efectivo, con una volatilidad anual de 10,8%.</w:t>
      </w:r>
    </w:p>
    <w:p>
      <w:pPr>
        <w:spacing w:after="120" w:line="300"/>
      </w:pPr>
      <w:r>
        <w:rPr>
          <w:b/>
          <w:bCs/>
        </w:rPr>
        <w:t xml:space="preserve">Casos extremos. </w:t>
      </w:r>
      <w:r>
        <w:t xml:space="preserve">Si el equilibrio es menor o igual a 5%, o el objetivo se cumple sin rendimiento, se usa la cartera conservadora, la de menor riesgo del sistema. Si supera 8%, ninguna combinación de carteras modelo lo alcanza; se muestra la cartera agresiva y se indica que no alcanza el equilibrio.</w:t>
      </w:r>
    </w:p>
    <w:p>
      <w:pPr>
        <w:spacing w:after="120" w:line="300"/>
      </w:pPr>
      <w:r>
        <w:rPr>
          <w:b/>
          <w:bCs/>
        </w:rPr>
        <w:t xml:space="preserve">Curva de carteras modelo. </w:t>
      </w:r>
      <w:r>
        <w:t xml:space="preserve">El gráfico de equilibrio traza todas las mezclas posibles (eje X: volatilidad; eje Y: rendimiento). La curva pasa por las tres carteras modelo, y cada uno de sus puntos corresponde a una composición concreta. El punto de equilibrio y su composición son, por lo tanto, consistentes entre el gráfico, el pastel, el Excel y el PDF.</w:t>
      </w:r>
    </w:p>
    <w:p>
      <w:pPr>
        <w:pStyle w:val="Heading2"/>
      </w:pPr>
      <w:r>
        <w:t xml:space="preserve">10.1 Gráfico de rendimiento de equilibrio</w:t>
      </w:r>
    </w:p>
    <w:p>
      <w:pPr>
        <w:spacing w:after="120" w:line="300"/>
      </w:pPr>
      <w:r>
        <w:t xml:space="preserve">El gráfico ubica en un mismo plano el riesgo (eje X, volatilidad anual) y el rendimiento esperado (eje Y). Contiene cuatro elementos: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Elemento</w:t>
            </w:r>
          </w:p>
        </w:tc>
        <w:tc>
          <w:tcPr>
            <w:tcW w:type="dxa" w:w="3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Qué representa</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De dónde sale</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Curva de carteras modelo</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Todas las combinaciones posibles entre carteras modelo vecinas, de la conservadora a la agresiva.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Composiciones y rendimientos de la sección 5; volatilidad con la serie 1928–2025.</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asignada (círculo)</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cartera que corresponde al perfil de riesgo del cliente.</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Perfil de la sección 4.</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Línea punteada y valor en el eje Y</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rendimiento de equilibrio: lo mínimo que el plan necesita.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Bisección de la sección 9.</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de equilibrio (punto de color)</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cartera de menor riesgo que rinde el equilibrio; es la misma del pastel.</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Mezcla de la sección 10.</w:t>
            </w:r>
          </w:p>
        </w:tc>
      </w:tr>
    </w:tbl>
    <w:p>
      <w:pPr>
        <w:spacing w:after="80"/>
      </w:pPr>
    </w:p>
    <w:p>
      <w:pPr>
        <w:spacing w:after="120" w:line="300"/>
      </w:pPr>
      <w:r>
        <w:rPr>
          <w:b/>
          <w:bCs/>
        </w:rPr>
        <w:t xml:space="preserve">Aporte metodológico. </w:t>
      </w:r>
      <w:r>
        <w:t xml:space="preserve">El gráfico pone frente a frente dos condiciones independientes:</w:t>
      </w:r>
    </w:p>
    <w:p>
      <w:pPr>
        <w:pStyle w:val="ListParagraph"/>
        <w:numPr>
          <w:ilvl w:val="0"/>
          <w:numId w:val="2"/>
        </w:numPr>
        <w:spacing w:after="60" w:line="290"/>
      </w:pPr>
      <w:r>
        <w:rPr>
          <w:b/>
          <w:bCs/>
        </w:rPr>
        <w:t xml:space="preserve">Lo que el cliente puede asumir: </w:t>
      </w:r>
      <w:r>
        <w:t xml:space="preserve">el perfil de riesgo, que se obtiene del cuestionario.</w:t>
      </w:r>
    </w:p>
    <w:p>
      <w:pPr>
        <w:pStyle w:val="ListParagraph"/>
        <w:numPr>
          <w:ilvl w:val="0"/>
          <w:numId w:val="2"/>
        </w:numPr>
        <w:spacing w:after="60" w:line="290"/>
      </w:pPr>
      <w:r>
        <w:rPr>
          <w:b/>
          <w:bCs/>
        </w:rPr>
        <w:t xml:space="preserve">Lo que el plan necesita: </w:t>
      </w:r>
      <w:r>
        <w:t xml:space="preserve">el rendimiento de equilibrio, que se obtiene de la proyección.</w:t>
      </w:r>
    </w:p>
    <w:p>
      <w:pPr>
        <w:spacing w:after="120" w:line="300"/>
      </w:pPr>
      <w:r>
        <w:t xml:space="preserve">La proyección por sí sola es determinística y no muestra riesgo. El gráfico traduce el rendimiento que exige el plan en el riesgo que hay que asumir para obtenerlo (volatilidad y peor año histórico de la cartera de equilibrio). La lectura es horizontal:</w:t>
      </w:r>
    </w:p>
    <w:p>
      <w:pPr>
        <w:pStyle w:val="ListParagraph"/>
        <w:numPr>
          <w:ilvl w:val="0"/>
          <w:numId w:val="2"/>
        </w:numPr>
        <w:spacing w:after="60" w:line="290"/>
      </w:pPr>
      <w:r>
        <w:t xml:space="preserve">Si la cartera de equilibrio queda a la izquierda de la cartera asignada, el plan se cumple con menos riesgo del que el perfil admite (holgura).</w:t>
      </w:r>
    </w:p>
    <w:p>
      <w:pPr>
        <w:pStyle w:val="ListParagraph"/>
        <w:numPr>
          <w:ilvl w:val="0"/>
          <w:numId w:val="2"/>
        </w:numPr>
        <w:spacing w:after="60" w:line="290"/>
      </w:pPr>
      <w:r>
        <w:t xml:space="preserve">Si queda a la derecha, el plan exige más riesgo del que el perfil admite (brecha). El ajuste corresponde al plan (gasto, aportes, edad de retiro, metas o retiros) y no a la cartera.</w:t>
      </w:r>
    </w:p>
    <w:p>
      <w:pPr>
        <w:pStyle w:val="ListParagraph"/>
        <w:numPr>
          <w:ilvl w:val="0"/>
          <w:numId w:val="2"/>
        </w:numPr>
        <w:spacing w:after="60" w:line="290"/>
      </w:pPr>
      <w:r>
        <w:t xml:space="preserve">Si el equilibrio supera 8%, ninguna cartera modelo lo alcanza; la línea punteada queda por encima de la curva y se marca la cartera agresiva como máximo disponible.</w:t>
      </w:r>
    </w:p>
    <w:p>
      <w:pPr>
        <w:spacing w:after="120" w:line="300"/>
      </w:pPr>
      <w:r>
        <w:t xml:space="preserve">Los pasteles complementan el gráfico: el gráfico muestra dónde está cada cartera en riesgo y rendimiento, y los pasteles muestran de qué está compuesta.</w:t>
      </w:r>
    </w:p>
    <w:p>
      <w:pPr>
        <w:pStyle w:val="Heading2"/>
      </w:pPr>
      <w:r>
        <w:t xml:space="preserve">10.2 Auditoría del gráfico</w:t>
      </w:r>
    </w:p>
    <w:p>
      <w:pPr>
        <w:pStyle w:val="ListParagraph"/>
        <w:numPr>
          <w:ilvl w:val="0"/>
          <w:numId w:val="2"/>
        </w:numPr>
        <w:spacing w:after="60" w:line="290"/>
      </w:pPr>
      <w:r>
        <w:rPr>
          <w:b/>
          <w:bCs/>
        </w:rPr>
        <w:t xml:space="preserve">Consistencia. </w:t>
      </w:r>
      <w:r>
        <w:t xml:space="preserve">El punto de la cartera de equilibrio se calcula con la misma función que el pastel, por lo que su volatilidad y su composición coinciden. Se verificó en el panel, el PDF y el Excel.</w:t>
      </w:r>
    </w:p>
    <w:p>
      <w:pPr>
        <w:pStyle w:val="ListParagraph"/>
        <w:numPr>
          <w:ilvl w:val="0"/>
          <w:numId w:val="2"/>
        </w:numPr>
        <w:spacing w:after="60" w:line="290"/>
      </w:pPr>
      <w:r>
        <w:rPr>
          <w:b/>
          <w:bCs/>
        </w:rPr>
        <w:t xml:space="preserve">Casos extremos corregidos. </w:t>
      </w:r>
      <w:r>
        <w:t xml:space="preserve">Antes, si el equilibrio era menor que 5%, mayor que 8% o inalcanzable, el gráfico no marcaba ninguna cartera mientras el pastel mostraba una. Ahora marca siempre la misma cartera del pastel: la conservadora en el primer caso y la agresiva, como máximo disponible, en los otros dos.</w:t>
      </w:r>
    </w:p>
    <w:p>
      <w:pPr>
        <w:pStyle w:val="ListParagraph"/>
        <w:numPr>
          <w:ilvl w:val="0"/>
          <w:numId w:val="2"/>
        </w:numPr>
        <w:spacing w:after="60" w:line="290"/>
      </w:pPr>
      <w:r>
        <w:rPr>
          <w:b/>
          <w:bCs/>
        </w:rPr>
        <w:t xml:space="preserve">Monotonía. </w:t>
      </w:r>
      <w:r>
        <w:t xml:space="preserve">La curva es creciente en riesgo y rendimiento en todo su recorrido, por lo que a cada rendimiento de equilibrio le corresponde una sola cartera.</w:t>
      </w:r>
    </w:p>
    <w:p>
      <w:pPr>
        <w:pStyle w:val="ListParagraph"/>
        <w:numPr>
          <w:ilvl w:val="0"/>
          <w:numId w:val="2"/>
        </w:numPr>
        <w:spacing w:after="60" w:line="290"/>
      </w:pPr>
      <w:r>
        <w:rPr>
          <w:b/>
          <w:bCs/>
        </w:rPr>
        <w:t xml:space="preserve">Alcance. </w:t>
      </w:r>
      <w:r>
        <w:t xml:space="preserve">La curva no es una frontera eficiente en sentido estricto: no optimiza sobre todas las combinaciones de activos, sino que mezcla las carteras modelo de la firma. Además, combina rendimientos supuestos por la firma con volatilidades históricas de activos de los Estados Unidos.</w:t>
      </w:r>
    </w:p>
    <w:p>
      <w:pPr>
        <w:pStyle w:val="ListParagraph"/>
        <w:numPr>
          <w:ilvl w:val="0"/>
          <w:numId w:val="2"/>
        </w:numPr>
        <w:spacing w:after="60" w:line="290"/>
      </w:pPr>
      <w:r>
        <w:rPr>
          <w:b/>
          <w:bCs/>
        </w:rPr>
        <w:t xml:space="preserve">Supuesto determinístico. </w:t>
      </w:r>
      <w:r>
        <w:t xml:space="preserve">El equilibrio supone un rendimiento constante cada año. Dos carteras con el mismo rendimiento esperado y distinta volatilidad tienen el mismo equilibrio, aunque la más volátil tiene mayor probabilidad de no cumplir el plan por la secuencia de rendimientos.</w:t>
      </w:r>
    </w:p>
    <w:p>
      <w:pPr>
        <w:spacing w:after="120" w:line="300"/>
      </w:pPr>
      <w:r>
        <w:rPr>
          <w:b/>
          <w:bCs/>
        </w:rPr>
        <w:t xml:space="preserve">Gráficos de pastel. </w:t>
      </w:r>
      <w:r>
        <w:t xml:space="preserve">El panel, la ficha PDF y la primera pestaña del Excel muestran dos pasteles: la cartera asignada al perfil y la cartera de equilibrio. En el Excel ambos se alimentan de la hoja Datos.</w:t>
      </w:r>
    </w:p>
    <w:p>
      <w:pPr>
        <w:pStyle w:val="Heading1"/>
      </w:pPr>
      <w:r>
        <w:t xml:space="preserve">11. Productos de salida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Producto</w:t>
            </w:r>
          </w:p>
        </w:tc>
        <w:tc>
          <w:tcPr>
            <w:tcW w:type="dxa" w:w="63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Contenido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Panel del asesor</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Pestañas separadas para familias y personas e instituciones, en orden alfabético. El detalle de cada cliente tiene dos páginas, en el mismo orden que la ficha PDF. Página 1: posición del cliente con sus puntajes y rendimiento de equilibrio. Página 2: cartera asignada y cartera de equilibrio, proyección, datos declarados y tabla año a año.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Excel de familias y personas (plantilla.xlsx)</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Cliente: ficha completa y los mismos gráficos de la ficha PDF (pasteles de las dos carteras, rendimiento de equilibrio y matriz de posición). Proyección: réplica con fórmulas del Excel de referencia y columnas condicionales, con gráfica nominal y real. Datos: valores que alimentan los gráficos.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Excel institucional (plantilla_instituciones.xlsx)</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Institución: ficha completa y los mismos gráficos de la ficha PDF. Proyección: insumos editables, fila por año con fórmulas y dos gráficas (nominal y real) con la meta mínima. Datos: valores que alimentan los gráficos.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Ficha PDF</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Dos páginas. Página 1: cifras clave, posición del cliente con sus puntajes, gráfico de rendimiento de equilibrio con sus cifras y conclusión. Página 2: pasteles de la cartera asignada y la cartera de equilibrio, con su volatilidad y peor año; proyección del portafolio y supuestos.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CSV consolidado</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Uno por pestaña, para Power BI. Una fila por cliente y año, con perfil, equilibrio, composición de la cartera de equilibrio y flujos de la proyección.</w:t>
            </w:r>
          </w:p>
        </w:tc>
      </w:tr>
    </w:tbl>
    <w:p>
      <w:pPr>
        <w:pStyle w:val="Heading1"/>
      </w:pPr>
      <w:r>
        <w:t xml:space="preserve">12. Cambios metodológicos respecto del Excel de referencia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300"/>
        <w:gridCol w:w="30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Cambio</w:t>
            </w:r>
          </w:p>
        </w:tc>
        <w:tc>
          <w:tcPr>
            <w:tcW w:type="dxa" w:w="18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Antes</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Ahora</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Motivo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real del primer año (R9)</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 Q9 × inflación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 (1 + inflación)^1</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fórmula anterior era una aproximación del descuento; ahora todas las filas usan el descuento exacto. En el escenario de 7% del caso de referencia, R9 pasa de US$353 168 a US$353 706.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en la jubilación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Siempre −H</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 factor si el cliente prevé un gasto menor o mayor</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 respuesta del cuestionario sobre el gasto en el retiro.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pensión indexada con la inflación de pensión</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 pensión declarada y el supuesto D4, que ya existía en el Excel.</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salidas puntuales en el año de cada meta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las metas declaradas.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 y FCL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ingresos puntuales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los saldos que el cliente decide incorporar.</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Bisección sobre la misma proyección</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Mide el rendimiento mínimo que exige el plan.</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Mezcla de carteras modelo vecinas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Traduce el equilibrio a una composición concreta.</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Gráfico de rendimiento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En el panel, la ficha PDF y el Excel</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Muestra el riesgo que exige el plan frente al que admite el perfil.</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Gráfico de pastel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Etiquetas leídas como número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Etiquetas leídas como texto; dos pasteles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Corrige la presentación de las clases de activo.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Gráfica de proyección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valor nominal, eje en años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nominal y real, eje en edades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Permite leer el poder adquisitivo.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120 años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años por defecto, editable</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vida más usual; el asesor puede llevarlo a 120.</w:t>
            </w:r>
          </w:p>
        </w:tc>
      </w:tr>
    </w:tbl>
    <w:p>
      <w:pPr>
        <w:spacing w:after="80"/>
      </w:pPr>
    </w:p>
    <w:p>
      <w:pPr>
        <w:spacing w:after="120" w:line="300"/>
      </w:pPr>
      <w:r>
        <w:t xml:space="preserve">Con el mismo cliente y los mismos supuestos, las fórmulas generadas coinciden con las 928 del Excel de referencia, salvo R9. Los valores coinciden en todas las celdas de los tres escenarios (5%, 7% y 8%), salvo R9.</w:t>
      </w:r>
    </w:p>
    <w:p>
      <w:pPr>
        <w:pStyle w:val="Heading1"/>
      </w:pPr>
      <w:r>
        <w:t xml:space="preserve">13. Validación y auditoría</w:t>
      </w:r>
    </w:p>
    <w:p>
      <w:pPr>
        <w:pStyle w:val="ListParagraph"/>
        <w:numPr>
          <w:ilvl w:val="0"/>
          <w:numId w:val="2"/>
        </w:numPr>
        <w:spacing w:after="60" w:line="290"/>
      </w:pPr>
      <w:r>
        <w:t xml:space="preserve">Réplica del Excel de referencia: 76 filas por escenario, diferencia cero en todas las columnas, salvo R9.</w:t>
      </w:r>
    </w:p>
    <w:p>
      <w:pPr>
        <w:pStyle w:val="ListParagraph"/>
        <w:numPr>
          <w:ilvl w:val="0"/>
          <w:numId w:val="2"/>
        </w:numPr>
        <w:spacing w:after="60" w:line="290"/>
      </w:pPr>
      <w:r>
        <w:t xml:space="preserve">Recálculo independiente con LibreOffice de los Excel generados: los valores coinciden con el panel en todos los casos probados (personas con y sin ROP o FCL, con pensión, con metas, con gasto menor o mayor, ya retirados, en colones; instituciones con horizontes de 1, 15 y 60 años).</w:t>
      </w:r>
    </w:p>
    <w:p>
      <w:pPr>
        <w:pStyle w:val="ListParagraph"/>
        <w:numPr>
          <w:ilvl w:val="0"/>
          <w:numId w:val="2"/>
        </w:numPr>
        <w:spacing w:after="60" w:line="290"/>
      </w:pPr>
      <w:r>
        <w:t xml:space="preserve">Implementación independiente de la metodología en Python: coincide al céntimo con el panel y con el Excel, también al modificar insumos dentro del Excel.</w:t>
      </w:r>
    </w:p>
    <w:p>
      <w:pPr>
        <w:pStyle w:val="ListParagraph"/>
        <w:numPr>
          <w:ilvl w:val="0"/>
          <w:numId w:val="2"/>
        </w:numPr>
        <w:spacing w:after="60" w:line="290"/>
      </w:pPr>
      <w:r>
        <w:t xml:space="preserve">Auditoría por un revisor independiente: no encontró errores de cálculo. Los hallazgos operativos (jubilados, montos con decimales, caracteres especiales, nombres largos en el PDF, entre otros) fueron corregidos y verificados nuevamente.</w:t>
      </w:r>
    </w:p>
    <w:p>
      <w:pPr>
        <w:pStyle w:val="ListParagraph"/>
        <w:numPr>
          <w:ilvl w:val="0"/>
          <w:numId w:val="2"/>
        </w:numPr>
        <w:spacing w:after="60" w:line="290"/>
      </w:pPr>
      <w:r>
        <w:t xml:space="preserve">Cuestionario: se probaron las validaciones de cada campo y los recorridos completos de ambos tipos de cliente.</w:t>
      </w:r>
    </w:p>
    <w:p>
      <w:pPr>
        <w:pStyle w:val="Heading1"/>
      </w:pPr>
      <w:r>
        <w:t xml:space="preserve">14. Limitaciones y puntos abiertos</w:t>
      </w:r>
    </w:p>
    <w:p>
      <w:pPr>
        <w:pStyle w:val="ListParagraph"/>
        <w:numPr>
          <w:ilvl w:val="0"/>
          <w:numId w:val="2"/>
        </w:numPr>
        <w:spacing w:after="60" w:line="290"/>
      </w:pPr>
      <w:r>
        <w:rPr>
          <w:b/>
          <w:bCs/>
        </w:rPr>
        <w:t xml:space="preserve">Matriz de posición. </w:t>
      </w:r>
      <w:r>
        <w:t xml:space="preserve">Los cuadrantes se dividen en 5 y rotulan el perfil de su centro, mientras que el perfil se asigna con los umbrales 4 y 7 sobre la disposición. En alrededor de un tercio de las combinaciones de respuestas, el cuadrante del cliente muestra un perfil distinto del asignado. Queda pendiente decidir entre alinear la matriz con los umbrales o asignar el perfil por cuadrante.</w:t>
      </w:r>
    </w:p>
    <w:p>
      <w:pPr>
        <w:pStyle w:val="ListParagraph"/>
        <w:numPr>
          <w:ilvl w:val="0"/>
          <w:numId w:val="2"/>
        </w:numPr>
        <w:spacing w:after="60" w:line="290"/>
      </w:pPr>
      <w:r>
        <w:rPr>
          <w:b/>
          <w:bCs/>
        </w:rPr>
        <w:t xml:space="preserve">Rendimientos esperados. </w:t>
      </w:r>
      <w:r>
        <w:t xml:space="preserve">Los rendimientos de las carteras modelo (5%, 7% y 8%) son supuestos de la firma; no se derivan de la serie histórica, que solo se usa para medir el riesgo.</w:t>
      </w:r>
    </w:p>
    <w:p>
      <w:pPr>
        <w:pStyle w:val="ListParagraph"/>
        <w:numPr>
          <w:ilvl w:val="0"/>
          <w:numId w:val="2"/>
        </w:numPr>
        <w:spacing w:after="60" w:line="290"/>
      </w:pPr>
      <w:r>
        <w:rPr>
          <w:b/>
          <w:bCs/>
        </w:rPr>
        <w:t xml:space="preserve">Equilibrio determinístico. </w:t>
      </w:r>
      <w:r>
        <w:t xml:space="preserve">El rendimiento de equilibrio no incorpora la volatilidad; una simulación estocástica permitiría medir la probabilidad de cumplir el plan con cada cartera.</w:t>
      </w:r>
    </w:p>
    <w:p>
      <w:pPr>
        <w:pStyle w:val="ListParagraph"/>
        <w:numPr>
          <w:ilvl w:val="0"/>
          <w:numId w:val="2"/>
        </w:numPr>
        <w:spacing w:after="60" w:line="290"/>
      </w:pPr>
      <w:r>
        <w:rPr>
          <w:b/>
          <w:bCs/>
        </w:rPr>
        <w:t xml:space="preserve">Pensión. </w:t>
      </w:r>
      <w:r>
        <w:t xml:space="preserve">Empieza en el año de retiro declarado, aunque el régimen fije otra edad de acceso.</w:t>
      </w:r>
    </w:p>
    <w:p>
      <w:pPr>
        <w:pStyle w:val="ListParagraph"/>
        <w:numPr>
          <w:ilvl w:val="0"/>
          <w:numId w:val="2"/>
        </w:numPr>
        <w:spacing w:after="60" w:line="290"/>
      </w:pPr>
      <w:r>
        <w:rPr>
          <w:b/>
          <w:bCs/>
        </w:rPr>
        <w:t xml:space="preserve">Factores de gasto en el retiro. </w:t>
      </w:r>
      <w:r>
        <w:t xml:space="preserve">Los valores de 80% y 110% son convenciones editables.</w:t>
      </w:r>
    </w:p>
    <w:p>
      <w:pPr>
        <w:pStyle w:val="ListParagraph"/>
        <w:numPr>
          <w:ilvl w:val="0"/>
          <w:numId w:val="2"/>
        </w:numPr>
        <w:spacing w:after="60" w:line="290"/>
      </w:pPr>
      <w:r>
        <w:rPr>
          <w:b/>
          <w:bCs/>
        </w:rPr>
        <w:t xml:space="preserve">Datos descriptivos. </w:t>
      </w:r>
      <w:r>
        <w:t xml:space="preserve">Vivienda, inmuebles, empresa, deudas, reserva, seguros e ingresos de la pareja se registran, pero aún no intervienen en la proyección.</w:t>
      </w:r>
    </w:p>
    <w:p>
      <w:pPr>
        <w:pStyle w:val="ListParagraph"/>
        <w:numPr>
          <w:ilvl w:val="0"/>
          <w:numId w:val="2"/>
        </w:numPr>
        <w:spacing w:after="60" w:line="290"/>
      </w:pPr>
      <w:r>
        <w:rPr>
          <w:b/>
          <w:bCs/>
        </w:rPr>
        <w:t xml:space="preserve">Primer retiro del portafolio. </w:t>
      </w:r>
      <w:r>
        <w:t xml:space="preserve">Es descriptivo por decisión expresa; no entra en la proyección.</w:t>
      </w:r>
    </w:p>
    <w:p>
      <w:pPr>
        <w:pStyle w:val="ListParagraph"/>
        <w:numPr>
          <w:ilvl w:val="0"/>
          <w:numId w:val="2"/>
        </w:numPr>
        <w:spacing w:after="60" w:line="290"/>
      </w:pPr>
      <w:r>
        <w:rPr>
          <w:b/>
          <w:bCs/>
        </w:rPr>
        <w:t xml:space="preserve">Almacenamiento. </w:t>
      </w:r>
      <w:r>
        <w:t xml:space="preserve">Durante el piloto, el repositorio es público y solo debe contener datos ficticios hasta la migración a Azure.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2026-10-01T08:35:40.858Z</dcterms:created>
  <dcterms:modified xsi:type="dcterms:W3CDTF">2026-10-01T08:35:40.858Z</dcterms:modified>
</cp:coreProperties>
</file>

<file path=docProps/custom.xml><?xml version="1.0" encoding="utf-8"?>
<Properties xmlns="http://schemas.openxmlformats.org/officeDocument/2006/custom-properties" xmlns:vt="http://schemas.openxmlformats.org/officeDocument/2006/docPropsVTypes"/>
</file>