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 xml:space="preserve">Chotocruz &amp; Co. · documento interno · versión 5.22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 xml:space="preserve">El método da una conclusión de riesgo, con su puntaje de 0 a 10 y su perfil, y la acompaña con el detalle de activos y pasivos del cliente:</w:t>
      </w:r>
    </w:p>
    <w:p>
      <w:pPr>
        <w:pStyle w:val="ListParagraph"/>
        <w:numPr>
          <w:ilvl w:val="0"/>
          <w:numId w:val="2"/>
        </w:numPr>
        <w:spacing w:after="60" w:line="290"/>
      </w:pPr>
      <w:r>
        <w:rPr>
          <w:b/>
          <w:bCs/>
        </w:rPr>
        <w:t xml:space="preserve">Perfil de riesgo. Sale solo de las diez preguntas del cuestionario 1. Su puntaje es el promedio ponderado de las diez respuestas y se ubica en uno de los cinco perfiles. La cartera se asigna con este perfil.</w:t>
      </w:r>
    </w:p>
    <w:p>
      <w:pPr>
        <w:pStyle w:val="ListParagraph"/>
        <w:numPr>
          <w:ilvl w:val="0"/>
          <w:numId w:val="2"/>
        </w:numPr>
        <w:spacing w:after="60" w:line="290"/>
      </w:pPr>
      <w:r>
        <w:rPr>
          <w:b/>
          <w:bCs/>
        </w:rPr>
        <w:t xml:space="preserve">Detalle de activos y pasivos. Lista los activos declarados, del más líquido al menos líquido, y los pasivos, del corto al largo plazo, con el patrimonio neto. Desde la versión 5.20 reemplaza al perfil financiero: la capacidad financiera ya no limita la cartera.</w:t>
      </w:r>
    </w:p>
    <w:p>
      <w:pPr>
        <w:pStyle w:val="ListParagraph"/>
        <w:numPr>
          <w:ilvl w:val="0"/>
          <w:numId w:val="2"/>
        </w:numPr>
        <w:spacing w:after="60" w:line="290"/>
      </w:pPr>
      <w:r>
        <w:t xml:space="preserve">La proyección usa el rendimiento de la cartera del perfil de riesgo (rendimiento mínimo esperado) y lo compara con el rendimiento de equilibrio (rendimiento mínimo necesario).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posible pérdida en un año desfavorable de hasta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posible pérdida en un año desfavorable de hasta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posible pérdida en un año desfavorable de hasta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posible pérdida en un año desfavorable de hasta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posible pérdida en un año desfavorable de hasta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o retiros frente a riesgo</w:t>
      </w:r>
    </w:p>
    <w:p>
      <w:pPr>
        <w:spacing w:after="120" w:line="300"/>
      </w:pPr>
      <w:r>
        <w:rPr>
          <w:i/>
          <w:iCs/>
        </w:rPr>
        <w:t>Primero el cliente indica si hoy aporta a sus inversiones o vive de ellas; según la respuesta ve una de dos versiones, con los mismos puntajes. Aporta: «Para alcanzar sus metas financieras, ¿qué prefiere?». Vive de ellas: «Para que su portafolio sostenga sus retiros, ¿qué prefiere?». Así la pregunta también aplica a quien ya no puede aportar, porque su palanca equivalente es retirar menos.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Aumentar mis aportes y mantener un riesgo bajo · Vive del portafolio: Reducir mis retiros y mantener un riesgo bajo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Aportar un poco más con un riesgo moderado · Vive del portafolio: Reducir un poco mis retiros con un riesgo moderado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Mantener mis aportes y aceptar más riesgo · Vive del portafolio: Mantener mis retiros y aceptar más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Aporta: Depender sobre todo del rendimiento, aun con fluctuaciones mayores · Vive del portafolio: Mantener o aumentar mis retiros apoyándome en el rendimiento, aun con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 de la cartera sugerida</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Cartera modelo → cartera sugerida (renta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 (dentro de los topes)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 → 35% · 47,5%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 → 50% · 45%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7,3%</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 → 70% · 25%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7,9%</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 → 90% · 5%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 xml:space="preserve">Topes por perfil y cartera sugerida</w:t>
      </w:r>
    </w:p>
    <w:p>
      <w:pPr>
        <w:spacing w:after="120" w:line="300"/>
      </w:pPr>
      <w:r>
        <w:t xml:space="preserve">Cada perfil tiene una política de inversión con un mínimo y un máximo por clase de activo (renta variable, renta fija, efectivo y alternativos), como las bandas de asignación estratégica que usan la banca privada y los gestores de patrimonio (Maginn et al., 2007; CFA Institute, 2018). Los topes, el porcentaje específico de cada perfil y el rendimiento esperado de cada clase se fijan en los valores de la firma del dashboard.</w:t>
      </w:r>
    </w:p>
    <w:p>
      <w:pPr>
        <w:spacing w:after="120" w:line="300"/>
      </w:pPr>
      <w:r>
        <w:t xml:space="preserve">Bandas base. Renta variable: conservador 0–20%, moderado conservador 20–35%, moderado 35–50%, moderado agresivo 50–70% y agresivo 70–90%. Renta fija: 50–90%, 40–75%, 30–60%, 15–45% y 0–30%. Efectivo: 5–40%, 5–30%, 5–20%, 0–15% y 0–10%. Alternativos: 0–5%, 0–10%, 0–10%, 0–15% y 0–20%. Son más prudentes que las categorías de asignación de Morningstar para fondos de EE. UU. (15–30%, 30–50%, 50–70%, 70–85% y más de 85% en renta variable).</w:t>
      </w:r>
    </w:p>
    <w:p>
      <w:pPr>
        <w:spacing w:after="120" w:line="300"/>
      </w:pPr>
      <w:r>
        <w:t xml:space="preserve">Regla de ajuste. La cartera sugerida parte de la cartera modelo del perfil o, si el asesor lo fija, de su porcentaje específico (debe sumar 100%). Cada clase se lleva dentro de su tope: lo que excede el máximo pasa primero a renta fija, luego a efectivo y a alternativos; lo que falta para el mínimo sale de renta variable, alternativos y renta fija. El dashboard, la ficha PDF, la presentación y el Excel indican si la cartera se ajustó y cuáles son los topes del perfil.</w:t>
      </w:r>
    </w:p>
    <w:p>
      <w:pPr>
        <w:spacing w:after="120" w:line="300"/>
      </w:pPr>
      <w:r>
        <w:t xml:space="preserve">Rendimiento esperado de la cartera = suma de (peso de cada clase × rendimiento esperado de la clase). Valores base: renta variable 8,31%, renta fija 5,46%, efectivo 2,03% y alternativos 6,5%; los tres primeros reproducen exactamente el rendimiento de las carteras modelo (5%, 6%, 7%, 7,5% y 8%). En el riesgo histórico, los alternativos se aproximan con mitad renta variable y mitad renta fija.</w:t>
      </w:r>
    </w:p>
    <w:p>
      <w:pPr>
        <w:spacing w:after="120" w:line="300"/>
      </w:pPr>
      <w:r>
        <w:t xml:space="preserve">Ejemplo. La cartera modelo moderada (60% · 35% · 5%) supera el máximo de 50% en renta variable: la cartera sugerida queda en 50% · 45% · 5% y rinde 6,7% (0,50 × 8,31% + 0,45 × 5,46% + 0,05 × 2,03%).</w:t>
      </w:r>
    </w:p>
    <w:p>
      <w:pPr>
        <w:pStyle w:val="Heading2"/>
      </w:pPr>
      <w:r>
        <w:t xml:space="preserve">1.5 Capacidad financiera (referencia: desde la versión 5.20 no asigna la cartera)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del portafolio de cinco años (déficit, metas y retiros adicionales)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 xml:space="preserve">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no se mide,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 xml:space="preserve">En familias, el conocimiento se mide con la pregunta 10 (alternativa única de inversión), que ya forma parte del perfil de riesgo; no se aplica otra vez. En instituciones se pregunta aparte y funcionaba como techo del perfil financiero hasta la versión 5.19: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 xml:space="preserve">1.7 Activos y pasivos</w:t>
      </w:r>
    </w:p>
    <w:p>
      <w:pPr>
        <w:shd w:fill="F4F5EE" w:color="auto" w:val="clear"/>
        <w:spacing w:after="120" w:before="60"/>
        <w:ind w:left="360"/>
      </w:pPr>
      <w:r>
        <w:rPr>
          <w:rFonts w:ascii="Consolas" w:cs="Consolas" w:eastAsia="Consolas" w:hAnsi="Consolas"/>
          <w:color w:val="2B3014"/>
          <w:sz w:val="19"/>
          <w:szCs w:val="19"/>
        </w:rPr>
        <w:t xml:space="preserve">Activos, en orden de liquidez: portafolio de inversión (inmediata); pensión voluntaria y FCL (media); ROP, inmuebles y empresas (baja); capital privado (muy baja). Empresas y capital privado se toman según la participación del cliente.</w:t>
      </w:r>
    </w:p>
    <w:p>
      <w:pPr>
        <w:shd w:fill="F4F5EE" w:color="auto" w:val="clear"/>
        <w:spacing w:after="120" w:before="60"/>
        <w:ind w:left="360"/>
      </w:pPr>
      <w:r>
        <w:rPr>
          <w:rFonts w:ascii="Consolas" w:cs="Consolas" w:eastAsia="Consolas" w:hAnsi="Consolas"/>
          <w:color w:val="2B3014"/>
          <w:sz w:val="19"/>
          <w:szCs w:val="19"/>
        </w:rPr>
        <w:t xml:space="preserve">Pasivos, en orden de exigibilidad: según el año en que terminan. Son de corto plazo si terminan a más tardar el año siguiente al inicio de la proyección; las deudas sin plazo indicado van al final, como largo plazo.</w:t>
      </w:r>
    </w:p>
    <w:p>
      <w:pPr>
        <w:spacing w:after="120" w:line="300"/>
      </w:pPr>
      <w:r>
        <w:t xml:space="preserve">Patrimonio neto = total de activos − total de pasivos. Activos líquidos = el portafolio de inversión sobre el total de activos. Todo en dólares, con el tipo de cambio del cliente, y sin la vivienda principal, cuyo valor no se pide. En instituciones no se muestra.</w:t>
      </w:r>
    </w:p>
    <w:p>
      <w:pPr>
        <w:spacing w:after="120" w:line="300"/>
      </w:pPr>
      <w:r>
        <w:rPr>
          <w:b/>
          <w:bCs/>
        </w:rPr>
        <w:t xml:space="preserve">Ejemplo. Cliente de ejemplo: activos por US$1 530 000 y pasivos por US$135 000, de los que US$3 000 son de corto plazo; patrimonio neto de US$1 395 000. El portafolio de inversión es el 16,3% de los activos.</w:t>
      </w:r>
    </w:p>
    <w:p>
      <w:pPr>
        <w:pStyle w:val="Heading2"/>
      </w:pPr>
      <w:r>
        <w:t>1.8 Presentación de los resultados</w:t>
      </w:r>
    </w:p>
    <w:p>
      <w:pPr>
        <w:spacing w:after="120" w:line="300"/>
      </w:pPr>
      <w:r>
        <w:t xml:space="preserve">El dashboard, la ficha PDF, la presentación de PowerPoint y el Excel muestran el perfil de riesgo y el detalle de activos y pasivos. El encabezado del dashboard tiene seis cuadros con la misma estructura (título, cifra y una línea de contexto): perfil de riesgo, rendimiento mínimo esperado (el de la cartera del perfil de riesgo), rendimiento mínimo necesario (el rendimiento de equilibrio, en rojo si supera al esperado),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 xml:space="preserve">Detalle de activos y pasivos: total de activos, total de pasivos con los de corto plazo, patrimonio neto y activos líquidos; tabla de activos (liquidez, moneda, valor en dólares y peso en el total) y tabla de pasivos (exigibilidad, moneda y saldo).</w:t>
      </w:r>
    </w:p>
    <w:p>
      <w:pPr>
        <w:pStyle w:val="ListParagraph"/>
        <w:numPr>
          <w:ilvl w:val="0"/>
          <w:numId w:val="2"/>
        </w:numPr>
        <w:spacing w:after="60" w:line="290"/>
      </w:pPr>
      <w:r>
        <w:rPr>
          <w:b/>
          <w:bCs/>
        </w:rPr>
        <w:t xml:space="preserve">Presentación de PowerPoint (botón «Descargar PPT» del dashboard). Abre con una portada (nombre del cliente, fecha y carácter confidencial) y una introducción (propósito del documento, contenido y alcance de las cifras); la ficha PDF incluye la misma introducción en su primera página. Sigue este orden: (1) objetivos del cliente: independencia financiera, gasto familiar, destino del patrimonio, horizonte y las metas y compromisos que el plan debe cubrir; (2) perfil del cliente: plano de tolerancia y apetito con el puntaje del perfil de riesgo y resumen de activos y pasivos; (3) perfil del cliente: cifras clave (perfil de riesgo, rendimiento mínimo esperado, rendimiento mínimo necesario, portafolio mínimo requerido y tasa de retiro inicial) y tablas de activos y pasivos; (4) ingresos y gastos después del retiro, año por año, con sus promedios y la cobertura de los gastos; (5) ingresos y gastos por moneda: cada monto en la moneda en que el cliente lo declaró, en cuatro columnas (colones, colones en dólares al tipo de cambio del cliente, dólares y total dolarizado: colones en dólares más dólares), separado en ingresos y gastos recurrentes al año y en montos puntuales del horizonte (ingresos extraordinarios, ventas de activos, gastos de una vez y metas), con la exposición al tipo de cambio; (6) proyección del portafolio en términos nominales y reales; (7) escenarios. Siguen el rendimiento de equilibrio, las carteras, los caminos o el margen del plan y los supuestos. En instituciones no se incluyen las diapositivas 4, 5 y 7. La ficha PDF tiene el mismo contenido y el mismo orden que la presentación. El dashboard sigue el mismo orden: los objetivos del cliente abren la página 1, antes del perfil; en la página 2, después de las carteras, van los ingresos y gastos después del retiro, los ingresos y gastos por moneda, la proyección y los escenarios. Las metas y compromisos se agrupan en metas, gastos extraordinarios, apoyo a dependientes y entradas al portafolio.</w:t>
      </w:r>
    </w:p>
    <w:p>
      <w:pPr>
        <w:pStyle w:val="Heading2"/>
      </w:pPr>
      <w:r>
        <w:t>1.9 Fundamento</w:t>
      </w:r>
    </w:p>
    <w:p>
      <w:pPr>
        <w:spacing w:after="120" w:line="300"/>
      </w:pPr>
      <w:r>
        <w:t xml:space="preserve">La tolerancia y el apetito miden la actitud ante el riesgo (Grable y Lytton, 1999). La cartera se asigna con el perfil de riesgo: a un cliente no se le asigna más riesgo del que declara tolerar, aunque su patrimonio lo permita (Cordell, 2001; ESMA, 2018). El detalle de activos y pasivos da el contexto patrimonial para la recomendación.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F19,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No cambia el inicio de la pensión.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mientras dure. No incluye el ingreso de la pareja, la pensión ni otros ingresos recurrentes.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 F20 y F21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el año en que cumple su edad de inicio (F20), sin importar la independencia; ese año, los meses después del cumpleaños (F21). Otros ingresos desde hoy o desde el año indicado, hasta el año de fin que indique el cliente.</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y L; ingresos extraordinarios · 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(K) y la pensión voluntaria (L) se reciben como pensión desde la edad de pensión. El FCL se traslada al portafolio en su año (O). La operadora es descriptiva.</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(parte en dólares × índice en dólares + parte en colones × índice en colones); desde la independencia, × el porcentaje declarado (F18). El cliente indica qué porcentaje paga en dólares y el cuestionario muestra el resto en colones: la parte en dólares crece con la inflación internacional y la de colones con la local, así que la inflación local se usa siempre que haya gasto en colones. No incluye la cuota de la hipoteca, donaciones ni los gastos de la pregunta 9; las cuotas de deudas, según la pregunta 11.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de cada deuda hasta el año en que termina, sin indexar (hoja «Gastos»). El cliente indica si esas cuotas ya están en su gasto familiar: si es así, no se suman de nuevo. Sin límite de cantidad. Pasivo en el detalle de activos y pasivos, según el año en que termina.</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W</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AE7 (capital inicial); portafolio · AG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Primer activo del detalle de activos y pasivos (liquidez inmediata). El dashboard calcula además el peso del portafolio con los activos declarados, como dato de control;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U; 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Empresas propias: cantidad y, por cada una, nombre, participación, valor estimado, plan de venta o traspaso y destino de la venta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de cada empresa. Todas las empresas entran al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AD</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 (si es «Otra», el nombre de la meta; si es con crédito, la tasa y el plazo)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(gastos extraordinarios) · X; cuotas de crédito · U</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Las metas pagadas con una salida del portafolio son gastos extraordinarios de su año. Las financiadas con crédito no salen del portafolio: su cuota anual, PAGO(tasa; plazo; −monto de la meta en su año), es un gasto ordinario desde el año de la meta y durante el plazo.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adicionales del portafolio, distintos de las metas de la pregunta 18: motivo, año y monto de cada uno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 (horizonte)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entra al flujo: el dinero que sale del portafolio ya está en los gastos y las metas.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¿Posee estructuras jurídicas? Si responde sí, cuáles y si su portafolio está dentro de alguna de ellas (y en cuáles)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 identifica dónde se encuentra el portafolio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(AA) = Q − Z: ingresos menos gastos. Las metas pagadas con el portafolio van en la columna Inversiones (X) y suman en el total de salidas (Y), en el año de cada meta. Las metas financiadas con crédito (pregunta 18) no salen del portafolio: su cuota anual, con la tasa y el plazo que indicó el cliente sobre el monto de la meta en su año, se suma a las cuotas (U) desde el año de la meta y durante el plazo.</w:t>
      </w:r>
      <w:r/>
    </w:p>
    <w:p>
      <w:pPr>
        <w:pStyle w:val="ListParagraph"/>
        <w:numPr>
          <w:ilvl w:val="0"/>
          <w:numId w:val="2"/>
        </w:numPr>
        <w:spacing w:after="60" w:line="290"/>
      </w:pPr>
      <w:r>
        <w:rPr>
          <w:b/>
          <w:bCs/>
        </w:rPr>
        <w:t>Flujo neto de inversiones (AF) = desinversiones (AE = AB + AC + AD): el dinero de la venta de activos que entra al portafolio. En el bloque Portafolio, el flujo neto (AI) = AA + AF: entra al portafolio si es positivo y sale de él si es negativo. Portafolio final (AJ) = inicial + rendimiento + flujo neto + gasto no cubierto (AN, última columna): el portafolio no baja de cero y el gasto no cubierto es lo que ya no alcanza a pagar.</w:t>
      </w:r>
      <w:r/>
    </w:p>
    <w:p>
      <w:pPr>
        <w:pStyle w:val="ListParagraph"/>
        <w:numPr>
          <w:ilvl w:val="0"/>
          <w:numId w:val="2"/>
        </w:numPr>
        <w:spacing w:after="60" w:line="290"/>
      </w:pPr>
      <w:r>
        <w:rPr>
          <w:b/>
          <w:bCs/>
        </w:rPr>
        <w:t xml:space="preserve">Los retiros adicionales del portafolio (pregunta 19) salen del portafolio en su año, con la inflación de su moneda, en la columna de gastos extraordinarios (hoja «Retiros del portafolio»). El cliente los declara aparte de sus metas para no contarlos dos veces. Por la misma razón, si el cliente indica que las cuotas de sus deudas ya están en el gasto familiar, no se suman de nuevo.</w:t>
      </w:r>
    </w:p>
    <w:p>
      <w:pPr>
        <w:spacing w:after="120" w:line="300"/>
      </w:pPr>
      <w:r>
        <w:t>Pensiones. La pensión del régimen básico (IVM u otro), la del ROP y la pensión voluntaria empiezan en el año en que el cliente cumple la edad de pensión (la que indicó o, si no la indicó, la del asesor), sin importar la edad de independencia financiera: la independencia puede ser posterior porque el cliente tiene otros ingresos. Ese primer año se pagan solo los meses que siguen al cumpleaños: (12 − mes de nacimiento) / 12 del monto anual. La edad de cada año de la proyección es la que el cliente cumple ese año (año − año de nacimiento). Los cuestionarios llenados antes de octubre de 2026 no pedían alquileres, cuotas con plazo ni gastos extraordinarios: para ellos esas líneas quedan en cero hasta que se editen.</w:t>
      </w:r>
    </w:p>
    <w:p>
      <w:pPr>
        <w:spacing w:after="120" w:line="300"/>
      </w:pPr>
      <w:r>
        <w:t>Primer año de la proyección. La proyección parte de la fecha en que el cliente llenó el cuestionario, con el capital que declaró ese día. Si lo llenó en el año de inicio, el primer año cuenta solo los meses que faltan, incluido el mes en curso: meses = 13 − mes del cuestionario (un cuestionario de octubre cuenta octubre, noviembre y diciembre: 3 meses). En ese año, los montos recurrentes se multiplican por meses / 12: los ingresos (actividad, pareja, otros ingresos, alquileres y pensiones), el gasto familiar, los gastos de dependientes, las donaciones, las cuotas, los gastos extraordinarios de cada año y el rendimiento del portafolio y de los fondos de pensión. Por ejemplo, un gasto de dependientes de US$120 000 al año que empieza en 2026, con un cuestionario de octubre de 2026, suma US$30 000 ese año (120 000 / 12 × 3) y el monto completo desde 2027. Los montos puntuales (ingresos extraordinarios, ventas de activos, gastos de una vez y metas) van completos en su año. Si la pensión empieza ese mismo año, se toma el menor entre los meses después del cumpleaños y los meses que faltan. Los términos reales descuentan la inflación del tiempo transcurrido desde hoy: (1 + inflación)^(período − 1 + meses / 12). Si el cuestionario es de un año anterior al de inicio de la proyección, el primer año está completo. El Excel lleva los meses en la celda F24, editable.</w:t>
      </w:r>
    </w:p>
    <w:p>
      <w:pPr>
        <w:pStyle w:val="Heading2"/>
      </w:pPr>
      <w:r>
        <w:t>2.2 Estructura del Excel</w:t>
      </w:r>
    </w:p>
    <w:p>
      <w:pPr>
        <w:pStyle w:val="ListParagraph"/>
        <w:numPr>
          <w:ilvl w:val="0"/>
          <w:numId w:val="2"/>
        </w:numPr>
        <w:spacing w:after="60" w:line="290"/>
      </w:pPr>
      <w:r>
        <w:rPr>
          <w:b/>
          <w:bCs/>
        </w:rPr>
        <w:t xml:space="preserve">Cliente: en las columnas B a E, el perfil de riesgo, los activos y pasivos, los rendimientos mínimos esperado y necesario, las carteras sugerida y de equilibrio y los resultados de la proyección, seguidos de los datos declarados, el patrimonio total y los supuestos; desde la columna G, los gráficos, separados de los datos.</w:t>
      </w:r>
    </w:p>
    <w:p>
      <w:pPr>
        <w:pStyle w:val="ListParagraph"/>
        <w:numPr>
          <w:ilvl w:val="0"/>
          <w:numId w:val="2"/>
        </w:numPr>
        <w:spacing w:after="60" w:line="290"/>
      </w:pPr>
      <w:r>
        <w:rPr>
          <w:b/>
          <w:bCs/>
        </w:rPr>
        <w:t>Proyección: título y nota en las filas 1 y 2. Desde la fila 4, cinco bloques con su título, separados por una columna en blanco: supuestos (B:G; en la columna F el valor que usa la proyección y en la G su origen: asesor, perfil de riesgo, cuestionario o no aplica), ingresos ordinarios y extraordinarios (I:P), gastos ordinarios y extraordinarios (R:X), inversiones y desinversiones (Z:AE) y el resumen del plan (AG:AO). Los bloques de ingresos, gastos, inversiones y desinversiones enlazan las hojas de detalle. Las celdas color crema son insumos editables. Después de los supuestos quedan dos filas en blanco; desde la fila 27, la proyección anual: banda, bloques y encabezados, y una fila por año desde la 30.</w:t>
      </w:r>
      <w:r/>
    </w:p>
    <w:p>
      <w:pPr>
        <w:pStyle w:val="ListParagraph"/>
        <w:numPr>
          <w:ilvl w:val="0"/>
          <w:numId w:val="2"/>
        </w:numPr>
        <w:spacing w:after="60" w:line="290"/>
      </w:pPr>
      <w:r>
        <w:rPr>
          <w:b/>
          <w:bCs/>
        </w:rPr>
        <w:t xml:space="preserve">Ingresos, Gastos, Inversiones, Desinversiones y Retiros del portafolio (metas pagadas con el portafolio y retiros adicionales): una fila por elemento, como lo declaró el cliente: monto declarado, moneda, tipo de cambio aplicado (el de la celda F7 de la hoja Proyección para los colones y 1 para los dólares) y monto en dólares = monto declarado / tipo de cambio. Así se ve cómo se dolariza cada monto antes de entrar a la proyección. Cada lista termina con filas libres para agregar elementos, el total de la sección y los totales de la proyección en dólares nominales. Las ventas de inmuebles con valor y deuda en monedas distintas tienen su detalle: valor y deuda en dólares, porcentaje que se invierte y monto que entra. Las demás inversiones del patrimonio (inmuebles, empresa, capital privado y fondos de pensión) se muestran como información y no entran a la proyección.</w:t>
      </w:r>
    </w:p>
    <w:p>
      <w:pPr>
        <w:pStyle w:val="ListParagraph"/>
        <w:numPr>
          <w:ilvl w:val="0"/>
          <w:numId w:val="2"/>
        </w:numPr>
        <w:spacing w:after="60" w:line="290"/>
      </w:pPr>
      <w:r>
        <w:rPr>
          <w:b/>
          <w:bCs/>
        </w:rPr>
        <w:t xml:space="preserve">Pensiones (antes «Fondos de pensión»): reúne todas las pensiones del cliente, separadas de los ingresos y gastos. Arriba a la derecha (G4:M7), la pensión del régimen básico (IVM, Magisterio u otro): monto mensual declarado, moneda, tipo de cambio, monto en dólares y período de inicio. Abajo, el ROP, el FCL y la pensión voluntaria, con su evolución anual. En la proyección siguen siendo ingresos ordinarios, cada una en su columna.</w:t>
      </w:r>
    </w:p>
    <w:p>
      <w:pPr>
        <w:pStyle w:val="ListParagraph"/>
        <w:numPr>
          <w:ilvl w:val="0"/>
          <w:numId w:val="2"/>
        </w:numPr>
        <w:spacing w:after="60" w:line="290"/>
      </w:pPr>
      <w:r>
        <w:rPr>
          <w:b/>
          <w:bCs/>
        </w:rPr>
        <w:t>Supuestos: la columna F lleva exactamente los valores que fijó el asesor en el dashboard y los que dio el cliente en el cuestionario, sin valores agregados: tipo de cambio e inflaciones (F7 a F12), rendimiento esperado del perfil (F13), rendimiento de los fondos de pensión (F14), aporte estimado al ROP y al FCL (F15 y F16), gasto en el retiro (F18), años hasta la independencia (F19) y edad de inicio de la pensión (F20), mes de nacimiento (F21) la parte del gasto familiar pagada en dólares (F22) y en colones (F23 = 100% − F22) y los meses de la proyección en el primer año (F24). Ninguna fórmula lleva un supuesto escrito como número fijo: todas leen estas celdas, también la hoja Fondos de pensión, de modo que al cambiar un supuesto el Excel se recalcula completo. Un supuesto que no aplica al cliente aparece como N/A y no entra a ningún cálculo.</w:t>
      </w:r>
      <w:r/>
    </w:p>
    <w:p>
      <w:pPr>
        <w:pStyle w:val="ListParagraph"/>
        <w:numPr>
          <w:ilvl w:val="0"/>
          <w:numId w:val="2"/>
        </w:numPr>
        <w:spacing w:after="60" w:line="290"/>
      </w:pPr>
      <w:r>
        <w:rPr>
          <w:b/>
          <w:bCs/>
        </w:rPr>
        <w:t>Fondos de pensión: evolución del ROP, el FCL y la pensión voluntaria; su rendimiento (E5), el crecimiento de los aportes (E6 y E10) y los años de aportes (E7) se enlazan con la hoja Proyección; quedan fijas las columnas de período y año, y las filas se desplazan libremente.</w:t>
      </w:r>
      <w:r/>
    </w:p>
    <w:p>
      <w:pPr>
        <w:pStyle w:val="ListParagraph"/>
        <w:numPr>
          <w:ilvl w:val="0"/>
          <w:numId w:val="2"/>
        </w:numPr>
        <w:spacing w:after="60" w:line="290"/>
      </w:pPr>
      <w:r>
        <w:rPr>
          <w:b/>
          <w:bCs/>
        </w:rPr>
        <w:t xml:space="preserve">Datos: insumos de los gráficos (perfil de riesgo, carteras y equilibrio).</w:t>
      </w:r>
    </w:p>
    <w:p>
      <w:pPr>
        <w:spacing w:after="120" w:line="300"/>
      </w:pPr>
      <w:r>
        <w:t>Los montos se declaran en valor de hoy y se llevan al año t con el índice (1 + inflación)^(t − 1), usando la inflación de la moneda en que se declaró cada monto: la inflación local (Costa Rica) para los montos en colones y la internacional (EE. UU.) para los montos en dólares. Los términos reales del portafolio se calculan con la inflación internacional, porque el portafolio está en dólares. Cada monto se declara con su moneda (USD o CRC). El Excel registra el monto declarado y su moneda y, a la par, el monto en dólares con la fórmula monto / tipo de cambio (F7) cuando es en colones. El tipo de cambio se mantiene constante en el horizonte.</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 IVM (o del régimen del cliente)</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desde el año en que el cliente cumple la edad de pensión (F20); ese año × (12 − F21) / 12. Inflación de su moneda hasta el primer pago y de la pensión del IVM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 · L Pensión voluntaria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«Pensiones», desde la edad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 + L</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Ingresos extraordinarios · O Traslado del FCL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 · hoja «Pensiones»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P</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(F22 × índice en dólares + F23 × índice en colones); en el retiro × porcentaje (F18)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 (las de deudas, solo si no están ya en el gasto familiar)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 S + T +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Gastos extraordinarios · X Inversiones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 · cada meta pagada con el portafolio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Total salidas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 +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Z</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Inmuebles · AC Empresa · AD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AB + AC + AD</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 de 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 × rendimiento de la cartera del perfil de riesgo (F13)</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Flujo neto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AF</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 + AH + AI + AN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Real · AL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 (1 + inflación)^t · MÁX(0, −AI)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AN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−(AG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o hasta que empieza la pensión del fondo, lo que ocurra antes,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el año en que el cliente cumple la edad de pensión; ese año, solo los meses después del cumpleaños.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ordinario: pensión mensual desde la edad de pensión, como el ROP (la ley permite recibirla desde los 57 años; la proyección la toma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 la modalidad que el cliente eligió para el ROP (o la del asesor): renta permanente, saldo × r; renta temporal o retiro programado, saldo × r / (1 − (1+r)^−n). El primer año, × (12 − mes de nacimiento) / 12.</w:t>
            </w:r>
          </w:p>
        </w:tc>
      </w:tr>
    </w:tbl>
    <w:p>
      <w:pPr>
        <w:spacing w:after="120" w:line="300"/>
      </w:pPr>
      <w:r>
        <w:t>r es el rendimiento anual de los fondos. La pensión del ROP (columna K) y la pensión voluntaria (columna L) entran como ingresos ordinarios desde la edad de pensión, con los meses que siguen al cumpleaños el primer año; la voluntaria usa la modalidad que el cliente eligió para el ROP. Lo trasladado del FCL entra como ingreso extraordinario (columna O).</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el menor rendimiento anual con el que el plan alcanza. Es el rendimiento mínimo necesario. Se compara con el rendimiento mínimo esperado (el de la cartera del perfil de riesgo) y se ubica en la frontera de las cinco carteras para indicar qué perfil sería necesario.</w:t>
      </w:r>
    </w:p>
    <w:p>
      <w:pPr>
        <w:spacing w:after="120" w:line="300"/>
      </w:pPr>
      <w:r>
        <w:rPr>
          <w:b/>
          <w:bCs/>
        </w:rPr>
        <w:t xml:space="preserve">Edad a la que se agota: primera edad con gasto no cubierto. Portafolio mínimo requerido: el menor capital inicial con el que, al rendimiento de la cartera del perfil de riesgo,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p>
    <w:p>
      <w:pPr>
        <w:spacing w:after="120" w:line="300"/>
      </w:pPr>
      <w:r>
        <w:rPr>
          <w:b/>
          <w:bCs/>
        </w:rPr>
        <w:t xml:space="preserve">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de riesgo),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spacing w:after="120" w:line="300"/>
      </w:pPr>
      <w:r>
        <w:rPr>
          <w:b/>
          <w:bCs/>
        </w:rPr>
        <w:t>Escenarios. El dashboard (página 2) y la presentación comparan el plan actual con la independencia financiera hoy y dentro de 10, 15 y 20 años (solo las edades dentro del horizonte), con todo lo demás igual: el ingreso por actividad que terminaba con la independencia termina a la nueva edad y el gasto del retiro empieza en ella; el ingreso que el cliente declaró más allá de su independencia (por ejemplo, de su empresa) no cambia. Para cada escenario se muestran el portafolio al retiro (dólares nominales), el saldo final en dólares de hoy, la edad a la que se agota, su rendimiento de equilibrio y si alcanza, con un gráfico del portafolio en dólares de hoy por edad. Si el cliente ya es independiente, solo se muestra el plan actual. Al lado se comparan tres rendimientos: el que cubre los gastos hasta el final del horizonte sin dejar herencia, el de equilibrio (cubre los gastos y deja la herencia deseada, si se invierte hoy) y el de la cartera sugerida. Los dos primeros se calculan por búsqueda binaria entre 0% y 30% sobre la misma proyección.</w:t>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 En el panel, los supuestos se agrupan como en el Excel (mercado, pensiones y fondos de pensión, retiro de familias y personas, horizonte). Debajo, en un recuadro con los mismos grupos, aparecen los datos que ya resolvió el cuestionario, con la marca «Cuestionario», y los supuestos que no aplican, con una leyenda que explica por qué. La hoja Cliente del Excel lista los mismos supuestos y los datos del cuestionario que hacen de supuesto.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local (Costa Rica)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colones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internacional (EE. UU.)</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los montos en dólares y deflacta a términos reales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del IVM</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del régimen básico después del primer pago (F10)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al ROP y al FCL (F11; hoja Fondos, E6)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 voluntaria</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Crecimiento anual de los aportes a la pensión voluntaria (F12; hoja Fondos, E10)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 (B25)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 (F18)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 (F14)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 (F15 y F16)</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 (F20)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F13)</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2026-10-28T21:30:00Z</dcterms:modified>
</cp:coreProperties>
</file>

<file path=docProps/custom.xml><?xml version="1.0" encoding="utf-8"?>
<Properties xmlns="http://schemas.openxmlformats.org/officeDocument/2006/custom-properties" xmlns:vt="http://schemas.openxmlformats.org/officeDocument/2006/docPropsVTypes"/>
</file>