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1.9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21. «Tabla» indica las tablas por año que están debajo de la proyección, con un elemento por columna desde la F.</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B4:F13</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 de la firma: F7 tipo de cambio · F8 inflación · F9 inflación de la pensión · F10 rendimiento esperado del portafolio. Datos del cliente: F12 años hasta la independencia · F13 edad de inicio de la pensión. Un supuesto que no aplica al cliente (por ejemplo, el tipo de cambio sin montos en colones) aparece como N/A y no entra a ninguna fórmula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H4:O15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Columnas K valor declarado · L moneda · M valor usado en US$ (fórmula) · N desde el período · O hasta el período. Ingresos ordinarios: fila 7 ingreso total (actividad; O7 años con ingreso) · 8 ingreso de la pareja (O8 años con ingreso) · 9 otros ingresos recurrentes (N9 inicio, O9 último período) · 10 pensión (N10 período del primer pago) · 11 alquileres (suma de la tabla) · 12 pensión del ROP (hoja «Fondos de pensión»). Ingresos extraordinarios: 14 total de la tabla · 15 traslado de FCL y pensión voluntaria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Q4:W16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Columnas T valor declarado · U moneda · V valor usado en US$ · W hasta el período. Gastos ordinarios: fila 7 gasto familiar mensual · 8 gasto en el retiro (% del actual) · 9 gastos de dependientes (suma de la tabla) · 10 donaciones al año · 11 cuota de la hipoteca (W11 años restantes) · 12 cuotas de deudas (suma de la tabla). Gastos extraordinarios: total de la tabla.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desinversiones y retiros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Y4:AD15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Columnas AB valor declarado · AC moneda · AD valor usado en US$. AD7 capital inicial del portafolio · AD8 superávit invertido en el horizonte · AD10 a AD12 ventas de inmuebles, de la empresa y de otros activos · AD14 metas · AD15 primer retiro (sumas de las tablas)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AF4:AN16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(AI7 a AI11), resultado (AI13 herencia deseada, AI14 edad a la que se agota el portafolio, AI15 ¿alcanza el plan?) y portafolio (AN7 a AN16: capital, inversiones, desinversiones, retiros, rendimientos, gasto no cubierto, saldo final nominal y en dólares de hoy, gasto no cubierto en dólares de hoy y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18 a 20 y desde la 21</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Banda, bloque de cada grupo de columnas y nombre de cada columna; una fila por año desde la 21, toda con fórmulas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Tablas por año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Debajo de la proyección</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Una columna por elemento desde la F (al menos diez; tantas como la lista más larga, porque el cuestionario no limita la cantidad de elementos), numerada como en el cuestionario. Cada monto ocupa tres filas: monto declarado, moneda y monto en US$ (fórmula). Grupos: ingresos extraordinarios · desinversiones · gastos de dependientes · alquileres · metas · primer retiro · gastos extraordinarios (nombre, frecuencia, monto y año) · deudas (nombre, moneda, cuota, saldo, último año y tasa)</w:t>
            </w:r>
          </w:p>
        </w:tc>
      </w:tr>
    </w:tbl>
    <w:p>
      <w:pPr>
        <w:spacing w:after="120" w:line="300"/>
      </w:pPr>
      <w:r>
        <w:t xml:space="preserve">Monedas. Cada monto del cuestionario se declara con su moneda, al final de la variable (USD o CRC). En el Excel queda el monto declarado y su moneda, y a la par el monto en dólares, con la fórmula monto / tipo de cambio (F7) cuando es en colones.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 K pensión del ROP · L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 ingresos extraordinarios · N traslado de FCL y pensión voluntaria · O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 = L + 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gasto familiar · R gastos de dependientes · S donaciones · T cuotas de hipoteca y deudas · U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U + V</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 P − W</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Y superávit invertido en el portafolio = MÁX(0; X) · Z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venta de inmuebles · AB venta de la empresa · AC venta de otros activos · AD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Retiros del 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AE retiro para cubrir el déficit = MÍN(0; X) · AF metas pagadas con el portafolio · AG primer retiro · AH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AI inicial · AJ rendimiento = AI × F10 · AK gasto no cubierto · AL final nominal = AI + AJ + Z + AD + AH + AK · AM en términos reales · AN tasa de retiro</w:t>
            </w:r>
          </w:p>
        </w:tc>
      </w:tr>
    </w:tbl>
    <w:p>
      <w:pPr>
        <w:spacing w:after="120" w:line="300"/>
      </w:pPr>
      <w:r>
        <w:t xml:space="preserve">Índice de inflación del año t: (1 + F8)^(t − 1). Los montos declarados en colones se escriben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F10</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F10. F10 multiplica el portafolio inicial de cada año (columna AJ).</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F12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Q,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(O7). Desde la independencia el gasto familiar se multiplica por V8.</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K7:M7; O7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M7 × 12 × índice mientras el período sea ≤ O7.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K8:M8; O8;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M8 × 12 × índice mientras el período sea ≤ O8, y se suma al total de ingresos ordinarios (L).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K10:M10, F13, N10; K9:M9, N9, O9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M10 × 12 desde el período N10, con inflación general hasta el primer pago y con F9 después. H = M9 × 12 × índice desde el período N9 hasta el período O9 (si el cliente indica que el ingreso no termina, O9 es el último período del horizonte). Si el cliente no conoce el monto de la pensión, lo estima el asesor; mientras tanto no entra en la proyección. Si ya la recibe, se pide el monto de hoy y la edad a la que se pensionó, y N10 = 1 (entra desde el año 1).</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N los traslados del FCL y la pensión voluntaria. La operadora es descriptiva. Si el cliente ya recibe su pensión: el ROP que ya cobra va dentro de la pensión (J) y K queda en 0; el saldo del FCL entra en N en el año 1.</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«Ingresos extraordinarios»: n.º y nombre, año y monto; total en M14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T7:V7, T8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V7 × 12 × índice; desde la independencia, × V8. No incluye cuotas, donaciones ni gastos de dependientes, que se preguntan después. El porcentaje en dólares es informativo (exposición al tipo de cambio). Si ya recibe la pensión, V8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«Gastos de dependientes»: año de inicio, años y monto anual; total en V9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T10:V10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V10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y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«Deudas»: n.º y nombre, moneda, cuota, saldo, último año y tasa; total de cuotas en V12;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suma la cuota × 12 de cada deuda mientras el año sea ≤ su último año de pago, más la hipoteca (V11, W11).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«Gastos extraordinarios»: n.º y nombre, frecuencia (1 una vez · 2 cada año), monto y año; total en la columna V del bloque Gastos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AB7:AD7 (capital inicial)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AI</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AI21 = AD7.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T11:W11 (hipoteca); tabla «Alquileres de inmuebles»; tabla «Desinversiones» con tipo 1 (venta)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I, AA</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«Desinversiones» con tipo 2; total en AD11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«Desinversiones» con tipo 3; total en AD12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«Primer retiro del portafolio»: año y monto; AD15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 −monto × índice en el año del retiro.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Tabla «Metas pagadas con el portafolio»: año y monto; total en AD14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−monto × índice en el año de cada meta pagada con el portafolio. Las financiadas con crédito no entran.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AI13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(AN14) no cubre la herencia, el plan no alcanza (AI15).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y 17 a 20 del cuestionario 2, y las diez preguntas del cuestionario 1 a través del rendimiento esperado (F10).</w:t>
      </w:r>
    </w:p>
    <w:p>
      <w:pPr>
        <w:pStyle w:val="ListParagraph"/>
        <w:numPr>
          <w:ilvl w:val="0"/>
          <w:numId w:val="2"/>
        </w:numPr>
        <w:spacing w:after="60" w:line="290"/>
      </w:pPr>
      <w:r>
        <w:rPr>
          <w:b/>
          <w:bCs/>
        </w:rPr>
        <w:t xml:space="preserve">No calculan la proyección: </w:t>
      </w:r>
      <w:r>
        <w:t xml:space="preserve">preguntas 8, 16, 21, 22, 23 y 24. Quedan en la hoja Cliente; la 16 entra al patrimonio total.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las cuotas (11 y 14), que se suman aparte en los gastos 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2026-10-21T09:20:33.085Z</dcterms:created>
  <dcterms:modified xsi:type="dcterms:W3CDTF">2026-10-21T09:20:33.086Z</dcterms:modified>
</cp:coreProperties>
</file>

<file path=docProps/custom.xml><?xml version="1.0" encoding="utf-8"?>
<Properties xmlns="http://schemas.openxmlformats.org/officeDocument/2006/custom-properties" xmlns:vt="http://schemas.openxmlformats.org/officeDocument/2006/docPropsVTypes"/>
</file>