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Metodología del perfil de riesgo y de la proyección</w:t>
      </w:r>
    </w:p>
    <w:p>
      <w:pPr>
        <w:spacing w:after="120" w:line="300"/>
      </w:pPr>
      <w:r>
        <w:rPr>
          <w:color w:val="5A5E44"/>
        </w:rPr>
        <w:t>Chotocruz &amp; Co. · documento interno · versión 5.5 · octubre de 2026</w:t>
      </w:r>
    </w:p>
    <w:p>
      <w:pPr>
        <w:spacing w:after="120" w:line="300"/>
      </w:pPr>
      <w:r>
        <w:t>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Parte 1. Cálculo del perfil de riesgo</w:t>
      </w:r>
    </w:p>
    <w:p>
      <w:pPr>
        <w:pStyle w:val="Heading2"/>
      </w:pPr>
      <w:r>
        <w:t>1.1 Resumen del método</w:t>
      </w:r>
    </w:p>
    <w:p>
      <w:pPr>
        <w:spacing w:after="120" w:line="300"/>
      </w:pPr>
      <w:r>
        <w:t>El método da dos conclusiones separadas, cada una con su puntaje de 0 a 10 y su perfil:</w:t>
      </w:r>
    </w:p>
    <w:p>
      <w:pPr>
        <w:pStyle w:val="ListParagraph"/>
        <w:numPr>
          <w:ilvl w:val="0"/>
          <w:numId w:val="2"/>
        </w:numPr>
        <w:spacing w:after="60" w:line="290"/>
      </w:pPr>
      <w:r>
        <w:rPr>
          <w:b/>
          <w:bCs/>
        </w:rPr>
        <w:t xml:space="preserve">Perfil de riesgo. </w:t>
      </w:r>
      <w:r>
        <w:t>Sale solo de las diez preguntas del cuestionario 1. Su puntaje es el promedio ponderado de las diez respuestas y se ubica en uno de los cinco perfiles.</w:t>
      </w:r>
    </w:p>
    <w:p>
      <w:pPr>
        <w:pStyle w:val="ListParagraph"/>
        <w:numPr>
          <w:ilvl w:val="0"/>
          <w:numId w:val="2"/>
        </w:numPr>
        <w:spacing w:after="60" w:line="290"/>
      </w:pPr>
      <w:r>
        <w:rPr>
          <w:b/>
          <w:bCs/>
        </w:rPr>
        <w:t>Perfil financiero. Agrega la capacidad financiera, medida con el flujo del cuestionario de planificación. El puntaje financiero es el menor entre el puntaje del perfil de riesgo y la capacidad financiera.</w:t>
      </w:r>
      <w:r/>
    </w:p>
    <w:p>
      <w:pPr>
        <w:pStyle w:val="ListParagraph"/>
        <w:numPr>
          <w:ilvl w:val="0"/>
          <w:numId w:val="2"/>
        </w:numPr>
        <w:spacing w:after="60" w:line="290"/>
      </w:pPr>
      <w:r>
        <w:t>La planificación puede confirmar o bajar el perfil de riesgo, nunca subirlo. La proyección usa el rendimiento del perfil financiero.</w:t>
      </w:r>
    </w:p>
    <w:p>
      <w:pPr>
        <w:pStyle w:val="ListParagraph"/>
        <w:numPr>
          <w:ilvl w:val="0"/>
          <w:numId w:val="2"/>
        </w:numPr>
        <w:spacing w:after="60" w:line="290"/>
      </w:pPr>
      <w:r>
        <w:t>Ningún dato entra en los dos cuestionarios, así que ningún dato se cuenta dos veces.</w:t>
      </w:r>
    </w:p>
    <w:p>
      <w:pPr>
        <w:pStyle w:val="Heading2"/>
      </w:pPr>
      <w:r>
        <w:t>1.2 Puntaje de cada pregunta</w:t>
      </w:r>
    </w:p>
    <w:p>
      <w:pPr>
        <w:spacing w:after="120" w:line="300"/>
      </w:pPr>
      <w:r>
        <w:t>Las preguntas se presentan en el orden del cuestionario de familias. Al pie de cada una se indica su subescala y su peso.</w:t>
      </w:r>
    </w:p>
    <w:p>
      <w:pPr>
        <w:pStyle w:val="Heading3"/>
      </w:pPr>
      <w:r>
        <w:t>Pregunta 1. Significado del riesgo</w:t>
      </w:r>
    </w:p>
    <w:p>
      <w:pPr>
        <w:spacing w:after="120" w:line="300"/>
      </w:pPr>
      <w:r>
        <w:rPr>
          <w:i/>
          <w:iCs/>
        </w:rPr>
        <w:t>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2. Decisiones con información incompleta</w:t>
      </w:r>
    </w:p>
    <w:p>
      <w:pPr>
        <w:spacing w:after="120" w:line="300"/>
      </w:pPr>
      <w:r>
        <w:rPr>
          <w:i/>
          <w:iCs/>
        </w:rPr>
        <w:t>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3. Frecuencia de revisión</w:t>
      </w:r>
    </w:p>
    <w:p>
      <w:pPr>
        <w:spacing w:after="120" w:line="300"/>
      </w:pPr>
      <w:r>
        <w:rPr>
          <w:i/>
          <w:iCs/>
        </w:rPr>
        <w:t>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1.</w:t>
      </w:r>
    </w:p>
    <w:p>
      <w:pPr>
        <w:pStyle w:val="Heading3"/>
      </w:pPr>
      <w:r>
        <w:t>Pregunta 4. Pérdida frente a ganancia no obtenida</w:t>
      </w:r>
    </w:p>
    <w:p>
      <w:pPr>
        <w:spacing w:after="120" w:line="300"/>
      </w:pPr>
      <w:r>
        <w:rPr>
          <w:i/>
          <w:iCs/>
        </w:rPr>
        <w:t>¿Cuál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5. Retorno esperado y caída máxima</w:t>
      </w:r>
    </w:p>
    <w:p>
      <w:pPr>
        <w:spacing w:after="120" w:line="300"/>
      </w:pPr>
      <w:r>
        <w:rPr>
          <w:i/>
          <w:iCs/>
        </w:rPr>
        <w:t>¿Qué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5% a 5,5% · pérdida anual esperada de −5%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6% a 6,5% · pérdida anual esperada de −7%</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7% a 7,5% · pérdida anual esperada de −9%</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8% a 8,5% · pérdida anual esperada de −12%</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anual de 9% a 9,5% · pérdida anual esperada de −16%</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3"/>
      </w:pPr>
      <w:r>
        <w:t>Pregunta 6. Aportes frente a riesgo</w:t>
      </w:r>
    </w:p>
    <w:p>
      <w:pPr>
        <w:spacing w:after="120" w:line="300"/>
      </w:pPr>
      <w:r>
        <w:rPr>
          <w:i/>
          <w:iCs/>
        </w:rPr>
        <w:t>Para alcanzar sus metas financieras, puede depender más de sus aportes o asumir más riesgo buscando un mayor rendimiento del portafolio. ¿Qué prefiere?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aumentar mis aportes y asumir un nivel bajo de riesgo en el portafolio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aportar un poco más y mantener un nivel moderado de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mantener mis aportes previstos y aceptar un mayor nivel de riesgo para buscar más rendimiento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Prefiero depender más del rendimiento del portafolio, aun si eso implica asumir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7. Reacción ante la última pérdida</w:t>
      </w:r>
    </w:p>
    <w:p>
      <w:pPr>
        <w:spacing w:after="120" w:line="300"/>
      </w:pPr>
      <w:r>
        <w:rPr>
          <w:i/>
          <w:iCs/>
        </w:rPr>
        <w:t>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cuenta</w:t>
            </w:r>
          </w:p>
        </w:tc>
      </w:tr>
    </w:tbl>
    <w:p>
      <w:pPr>
        <w:spacing w:after="120" w:line="300"/>
      </w:pPr>
      <w:r>
        <w:rPr>
          <w:b/>
          <w:bCs/>
        </w:rPr>
        <w:t xml:space="preserve">Subescala: </w:t>
      </w:r>
      <w:r>
        <w:t xml:space="preserve">Tolerancia. </w:t>
      </w:r>
      <w:r>
        <w:rPr>
          <w:b/>
          <w:bCs/>
        </w:rPr>
        <w:t xml:space="preserve">Peso: </w:t>
      </w:r>
      <w:r>
        <w:t>2.</w:t>
      </w:r>
      <w:r>
        <w:t xml:space="preserve"> Si responde «No aplica», la pregunta no entra al promedio.</w:t>
      </w:r>
    </w:p>
    <w:p>
      <w:pPr>
        <w:pStyle w:val="Heading3"/>
      </w:pPr>
      <w:r>
        <w:t>Pregunta 8. Uso de un año bueno</w:t>
      </w:r>
    </w:p>
    <w:p>
      <w:pPr>
        <w:spacing w:after="120" w:line="300"/>
      </w:pPr>
      <w:r>
        <w:rPr>
          <w:i/>
          <w:iCs/>
        </w:rPr>
        <w:t>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1.</w:t>
      </w:r>
    </w:p>
    <w:p>
      <w:pPr>
        <w:pStyle w:val="Heading3"/>
      </w:pPr>
      <w:r>
        <w:t>Pregunta 9. Reacción ante un año malo</w:t>
      </w:r>
    </w:p>
    <w:p>
      <w:pPr>
        <w:spacing w:after="120" w:line="300"/>
      </w:pPr>
      <w:r>
        <w:rPr>
          <w:i/>
          <w:iCs/>
        </w:rPr>
        <w:t>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Tolerancia. </w:t>
      </w:r>
      <w:r>
        <w:rPr>
          <w:b/>
          <w:bCs/>
        </w:rPr>
        <w:t xml:space="preserve">Peso: </w:t>
      </w:r>
      <w:r>
        <w:t>2.</w:t>
      </w:r>
    </w:p>
    <w:p>
      <w:pPr>
        <w:pStyle w:val="Heading3"/>
      </w:pPr>
      <w:r>
        <w:t>Pregunta 10. Alternativa única de inversión</w:t>
      </w:r>
    </w:p>
    <w:p>
      <w:pPr>
        <w:spacing w:after="120" w:line="300"/>
      </w:pPr>
      <w:r>
        <w:rPr>
          <w:i/>
          <w:iCs/>
        </w:rPr>
        <w:t>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r>
    </w:tbl>
    <w:p>
      <w:pPr>
        <w:spacing w:after="120" w:line="300"/>
      </w:pPr>
      <w:r>
        <w:rPr>
          <w:b/>
          <w:bCs/>
        </w:rPr>
        <w:t xml:space="preserve">Subescala: </w:t>
      </w:r>
      <w:r>
        <w:t xml:space="preserve">Apetito. </w:t>
      </w:r>
      <w:r>
        <w:rPr>
          <w:b/>
          <w:bCs/>
        </w:rPr>
        <w:t xml:space="preserve">Peso: </w:t>
      </w:r>
      <w:r>
        <w:t>2.</w:t>
      </w:r>
    </w:p>
    <w:p>
      <w:pPr>
        <w:pStyle w:val="Heading2"/>
      </w:pPr>
      <w:r>
        <w:t>1.3 Puntaje del perfil de riesgo</w:t>
      </w:r>
    </w:p>
    <w:p>
      <w:pPr>
        <w:spacing w:after="120" w:line="300"/>
      </w:pPr>
      <w:r>
        <w:t>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Puntaje del perfil de riesgo = Σ (puntaje × peso) / Σ (peso)</w:t>
      </w:r>
    </w:p>
    <w:p>
      <w:pPr>
        <w:spacing w:after="120" w:line="300"/>
      </w:pPr>
      <w:r>
        <w:t>Solo se suman las preguntas respondidas; una pregunta en blanco o «No aplica» sale del numerador y del denominador. Con todas respondidas, la suma de pesos es 15.</w:t>
      </w:r>
    </w:p>
    <w:p>
      <w:pPr>
        <w:spacing w:after="120" w:line="300"/>
      </w:pPr>
      <w:r>
        <w:t>La tolerancia (preguntas 1, 2, 3, 7 y 9) y el apetito (preguntas 4, 5, 6, 8 y 10) se calculan con la misma fórmula. Son los dos ejes del plano del perfil de riesgo: la tolerancia en el eje horizontal y el apetito en el vertical. Las franjas diagonales del plano son los cinco perfiles y salen de la misma fórmula del puntaje, por lo que la posición del cliente en el plano y su perfil siempre coinciden.</w:t>
      </w:r>
    </w:p>
    <w:p>
      <w:pPr>
        <w:pStyle w:val="Heading2"/>
      </w:pPr>
      <w:r>
        <w:t>1.4 Los cinco perfiles</w:t>
      </w:r>
    </w:p>
    <w:p>
      <w:pPr>
        <w:spacing w:after="120" w:line="300"/>
      </w:pPr>
      <w:r>
        <w:t>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 · 0% · 5%</w:t>
            </w:r>
          </w:p>
        </w:tc>
      </w:tr>
    </w:tbl>
    <w:p>
      <w:pPr>
        <w:spacing w:after="120" w:line="300"/>
      </w:pPr>
      <w:r>
        <w:t>Si el puntaje del perfil de riesgo queda a menos de 0,4 puntos de un corte, el dashboard la marca como zona de frontera para confirmarla con el cliente. El perfil no cambia.</w:t>
      </w:r>
    </w:p>
    <w:p>
      <w:pPr>
        <w:pStyle w:val="Heading2"/>
      </w:pPr>
      <w:r>
        <w:t>1.5 Capacidad financiera</w:t>
      </w:r>
    </w:p>
    <w:p>
      <w:pPr>
        <w:spacing w:after="120" w:line="300"/>
      </w:pPr>
      <w:r>
        <w:t>Mide cuánto riesgo puede soportar el cliente, con independencia de cuánto quiere asumir. Se calcula con el flujo de los primeros cinco años de la proyección y con datos del cuestionario de planificación, en siete componentes que siguen la estructura de la hoja «Proyección»: ingresos, gastos, inversiones, desinversiones, tamaño del portafolio, reserva de liquidez y horizonte. Cubren lo que las directrices de idoneidad de MiFID II piden evaluar: ingresos, activos, compromisos financieros regulares y capacidad de soportar pérdidas (ESMA, 2022, párrafos 37 y 80). También siguen la guía del CFA Institute (2018), que mide la capacidad con los recursos del cliente frente a sus necesidades de gasto: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3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Dato de la planificación</w:t>
            </w:r>
          </w:p>
        </w:tc>
        <w:tc>
          <w:tcPr>
            <w:tcW w:type="dxa" w:w="3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Fundamento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 gastos totales de los primeros cinco años, promediado con la predictibilidad del ingreso (pregunta 2)</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regulares frente a los compromisos (ESMA, 2022); recursos propios para cubrir el gasto sin depender del portafolio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comprometidos (cuotas de hipoteca y deudas y gastos de dependientes) / ingresos totales, cinco años</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Compromisos financieros regulares (ESMA, 2022); razón de servicio de deuda con límite habitual de 36% (Greninger y otros, 1996)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Lo que entra al portafolio en cinco años (superávit invertido y ventas de activos)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Aportes futuros que permiten recuperar una pérdida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de cinco años (déficit, metas y primer retiro) / capital inicial</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Restricción de liquidez (CFA Institute). Retirar 4% al año (Bengen, 1994) equivale a 20% en cinco años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 actual / portafolio mínimo requerido con la cartera conservadora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frente a las necesidades: capacidad de soportar pérdidas sin comprometer el nivel de vida (ESMA, 2022;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Meses de gasto que cubre la reserva de liquidez declarada (pregunta 11). No entra al flujo de caja</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Liquidez para imprevistos sin vender el portafolio en un mal momento: reserva de 3 a 6 meses de gasto (Greninger y otros, 1996; CFA Institute, 2018)</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3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Años hasta que el portafolio empieza a financiar gastos, metas o retiros (primer año con desinversión)</w:t>
            </w:r>
          </w:p>
        </w:tc>
        <w:tc>
          <w:tcPr>
            <w:tcW w:type="dxa" w:w="3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de inversión (ESMA, 2022; CFA Institute, 2018)</w:t>
            </w:r>
          </w:p>
        </w:tc>
      </w:tr>
    </w:tbl>
    <w:p>
      <w:pPr>
        <w:spacing w:after="120" w:line="300"/>
      </w:pPr>
      <w:r>
        <w:t>Cada componente se puntúa en cuatro tramos (0; 3,33; 6,67 y 10), igual que las respuestas del cuestionario: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750"/>
        <w:gridCol w:w="1750"/>
        <w:gridCol w:w="1750"/>
        <w:gridCol w:w="1750"/>
      </w:tblGrid>
      <w:tr>
        <w:trPr>
          <w:tblHeader/>
        </w:trPr>
        <w:tc>
          <w:tcPr>
            <w:tcW w:type="dxa" w:w="2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Componente</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0</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3,33</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6,67</w:t>
            </w:r>
          </w:p>
        </w:tc>
        <w:tc>
          <w:tcPr>
            <w:tcW w:type="dxa" w:w="17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 (cobertura)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50%</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a 79,9%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a 99,9%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 (comprometidos)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36%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 a 35,9%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entradas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Hasta 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50% o más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25% a 49,9%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24,9%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Tamaño del portafolio</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1,00 vez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 a 1,24</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1,25 a 1,49</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1,50 o más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Reserva de liquidez</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reserva</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3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 a 6 meses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Más de 6 meses</w:t>
            </w:r>
          </w:p>
        </w:tc>
      </w:tr>
      <w:tr>
        <w:tc>
          <w:tcPr>
            <w:tcW w:type="dxa" w:w="2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Menos de 5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 a 9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 a 14 años</w:t>
            </w:r>
          </w:p>
        </w:tc>
        <w:tc>
          <w:tcPr>
            <w:tcW w:type="dxa" w:w="17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 años o más</w:t>
            </w:r>
          </w:p>
        </w:tc>
      </w:tr>
    </w:tbl>
    <w:p>
      <w:pPr>
        <w:shd w:fill="F4F5EE" w:color="auto" w:val="clear"/>
        <w:spacing w:after="120" w:before="60"/>
        <w:ind w:left="360"/>
      </w:pPr>
      <w:r>
        <w:rPr>
          <w:rFonts w:ascii="Consolas" w:cs="Consolas" w:eastAsia="Consolas" w:hAnsi="Consolas"/>
          <w:color w:val="2B3014"/>
          <w:sz w:val="19"/>
          <w:szCs w:val="19"/>
        </w:rPr>
        <w:t>Capacidad financiera = promedio simple de los componentes con dato (se necesitan al menos dos tercios de los componentes: 5 de 7)</w:t>
      </w:r>
    </w:p>
    <w:p>
      <w:pPr>
        <w:spacing w:after="120" w:line="300"/>
      </w:pPr>
      <w:r>
        <w:t>Se usan pesos iguales porque no hay datos propios para estimar otros; los pesos iguales son más robustos que pesos fijados a criterio (Dawes, 1979). Los tramos son supuestos del analista y se recalibran cuando haya historial de clientes.</w:t>
      </w:r>
    </w:p>
    <w:p>
      <w:pPr>
        <w:spacing w:after="120" w:line="300"/>
      </w:pPr>
      <w:r>
        <w:rPr>
          <w:b/>
          <w:bCs/>
        </w:rPr>
        <w:t>Datos faltantes. Cada componente se calcula solo si el cliente dio los datos que lo alimentan. Si no, queda «sin dato», se rotula así en el radar y en la ficha y no entra al promedio: no se supone ningún valor. Si menos de cinco de los siete componentes tienen dato, la capacidad no se mide, el perfil financiero queda igual al perfil de riesgo y el dashboard pide completar el cuestionario antes de proponer una cartera, como piden las directrices de ESMA (2022, párrafo 53) para la información incompleta. Si la pensión está por estimar, el componente de ingresos se marca como parcial. Los flujos se proyectan sin rendimiento y el tamaño del portafolio se mide con la cartera conservadora, así que la capacidad no depende del perfil que se asigne. El peso del portafolio en el patrimonio (pregunta 13) se muestra como dato de control y no entra al cálculo.</w:t>
      </w:r>
      <w:r/>
    </w:p>
    <w:p>
      <w:pPr>
        <w:spacing w:after="120" w:line="300"/>
      </w:pPr>
      <w:r>
        <w:t>Instituciones: horizonte de inversión declarado, estabilidad de los ingresos, peso del portafolio en sus activos y liquidez requerida (retiros netos de los primeros cinco años sobre el capital inicial). En familias, los cuestionarios anteriores a octubre de 2026 no pedían deudas ni gastos de dependientes, por lo que en ellos el componente de gastos queda sin dato.</w:t>
      </w:r>
    </w:p>
    <w:p>
      <w:pPr>
        <w:pStyle w:val="Heading2"/>
      </w:pPr>
      <w:r>
        <w:t>1.6 Conocimiento</w:t>
      </w:r>
    </w:p>
    <w:p>
      <w:pPr>
        <w:spacing w:after="120" w:line="300"/>
      </w:pPr>
      <w:r>
        <w:t>En familias, el conocimiento se mide con la pregunta 10 (alternativa única de inversión), que ya forma parte del perfil de riesgo; no se aplica otra vez. En instituciones se pregunta aparte y funciona como techo del perfil financiero: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Sin límite</w:t>
            </w:r>
          </w:p>
        </w:tc>
      </w:tr>
    </w:tbl>
    <w:p>
      <w:pPr>
        <w:pStyle w:val="Heading2"/>
      </w:pPr>
      <w:r>
        <w:t>1.7 Perfil financiero</w:t>
      </w:r>
    </w:p>
    <w:p>
      <w:pPr>
        <w:shd w:fill="F4F5EE" w:color="auto" w:val="clear"/>
        <w:spacing w:after="120" w:before="60"/>
        <w:ind w:left="360"/>
      </w:pPr>
      <w:r>
        <w:rPr>
          <w:rFonts w:ascii="Consolas" w:cs="Consolas" w:eastAsia="Consolas" w:hAnsi="Consolas"/>
          <w:color w:val="2B3014"/>
          <w:sz w:val="19"/>
          <w:szCs w:val="19"/>
        </w:rPr>
        <w:t>Puntaje financiero = mínimo { puntaje del perfil de riesgo ; capacidad financiera }</w:t>
      </w:r>
    </w:p>
    <w:p>
      <w:pPr>
        <w:shd w:fill="F4F5EE" w:color="auto" w:val="clear"/>
        <w:spacing w:after="120" w:before="60"/>
        <w:ind w:left="360"/>
      </w:pPr>
      <w:r>
        <w:rPr>
          <w:rFonts w:ascii="Consolas" w:cs="Consolas" w:eastAsia="Consolas" w:hAnsi="Consolas"/>
          <w:color w:val="2B3014"/>
          <w:sz w:val="19"/>
          <w:szCs w:val="19"/>
        </w:rPr>
        <w:t>Perfil financiero = tramo del puntaje financiero, con el techo de conocimiento si lo hay</w:t>
      </w:r>
    </w:p>
    <w:p>
      <w:pPr>
        <w:spacing w:after="120" w:line="300"/>
      </w:pPr>
      <w:r>
        <w:t>El perfil de riesgo y la capacidad usan la misma escala de 0 a 10 y los mismos cortes, para que se puedan comparar directamente. Si el techo de conocimiento es más bajo, el puntaje financiero queda en el límite superior del tramo que permite ese techo.</w:t>
      </w:r>
    </w:p>
    <w:p>
      <w:pPr>
        <w:spacing w:after="120" w:line="300"/>
      </w:pPr>
      <w:r>
        <w:rPr>
          <w:b/>
          <w:bCs/>
        </w:rPr>
        <w:t xml:space="preserve">Ejemplo. </w:t>
      </w:r>
      <w:r>
        <w:t>Perfil de riesgo 6,9 (moderado agresivo) y capacidad 5,0 (moderado): el puntaje financiero es 5,0 y el perfil financiero es moderado. La planificación bajó el perfil por la capacidad financiera.</w:t>
      </w:r>
    </w:p>
    <w:p>
      <w:pPr>
        <w:pStyle w:val="Heading2"/>
      </w:pPr>
      <w:r>
        <w:t>1.8 Presentación de los resultados</w:t>
      </w:r>
    </w:p>
    <w:p>
      <w:pPr>
        <w:spacing w:after="120" w:line="300"/>
      </w:pPr>
      <w:r>
        <w:t>El dashboard, la ficha PDF y el Excel muestran las dos conclusiones por separado. El encabezado del dashboard tiene seis cuadros con la misma estructura (título, cifra y una línea de contexto): perfil de riesgo, perfil financiero, rendimiento esperado con su cartera modelo, portafolio mínimo requerido, tasa de retiro inicial y portafolio final en dólares de hoy.</w:t>
      </w:r>
    </w:p>
    <w:p>
      <w:pPr>
        <w:pStyle w:val="ListParagraph"/>
        <w:numPr>
          <w:ilvl w:val="0"/>
          <w:numId w:val="2"/>
        </w:numPr>
        <w:spacing w:after="60" w:line="290"/>
      </w:pPr>
      <w:r>
        <w:rPr>
          <w:b/>
          <w:bCs/>
        </w:rPr>
        <w:t xml:space="preserve">Perfil de riesgo: </w:t>
      </w:r>
      <w:r>
        <w:t>plano de tolerancia y apetito, barras de ambos, puntaje del perfil de riesgo y perfil de riesgo.</w:t>
      </w:r>
    </w:p>
    <w:p>
      <w:pPr>
        <w:pStyle w:val="ListParagraph"/>
        <w:numPr>
          <w:ilvl w:val="0"/>
          <w:numId w:val="2"/>
        </w:numPr>
        <w:spacing w:after="60" w:line="290"/>
      </w:pPr>
      <w:r>
        <w:rPr>
          <w:b/>
          <w:bCs/>
        </w:rPr>
        <w:t>Perfil financiero: radar con el perfil de riesgo y los siete componentes de la capacidad (la línea punteada es la capacidad; los componentes sin dato se rotulan «Sin dato»), barras del perfil de riesgo, la capacidad y sus componentes, puntaje financiero y perfil financiero, con una frase que dice si la planificación confirmó o bajó el perfil.</w:t>
      </w:r>
      <w:r/>
    </w:p>
    <w:p>
      <w:pPr>
        <w:pStyle w:val="Heading2"/>
      </w:pPr>
      <w:r>
        <w:t>1.9 Fundamento</w:t>
      </w:r>
    </w:p>
    <w:p>
      <w:pPr>
        <w:spacing w:after="120" w:line="300"/>
      </w:pPr>
      <w:r>
        <w:t>La tolerancia y el apetito miden la actitud ante el riesgo (Grable y Lytton, 1999). La capacidad financiera se mide aparte, con datos objetivos de la planificación, y solo puede bajar el perfil, como plantean Cordell (2001) y las directrices de idoneidad de MiFID II (ESMA, 2018): a un cliente no se le asigna más riesgo del que declara tolerar, aunque su patrimonio lo permita. Las preguntas no tienen opciones neutrales donde no aportan información, para evitar que respuestas indecisas lleven el promedio hacia el centro de la escala.</w:t>
      </w:r>
    </w:p>
    <w:p>
      <w:pPr>
        <w:spacing w:after="120" w:line="300"/>
      </w:pPr>
      <w:r>
        <w:rPr>
          <w:b/>
          <w:bCs/>
        </w:rPr>
        <w:t>Referencias. Bengen, W. (1994), Determining withdrawal rates using historical data, Journal of Financial Planning. Cordell, D. (2001), RiskPACK: How to evaluate risk tolerance, Journal of Financial Planning. Dawes, R. (1979), The robust beauty of improper linear models, American Psychologist. ESMA (2018), Guidelines on certain aspects of the MiFID II suitability requirements, ESMA35-43-869. Grable, J. y Lytton, R. (1999), Financial risk tolerance revisited, Financial Services Review. Ibbotson, R., Milevsky, M., Chen, P. y Zhu, K. (2007), Lifetime Financial Advice: Human Capital, Asset Allocation, and Insurance, CFA Institute Research Foundation. Maginn, J., Tuttle, D., Pinto, J. y McLeavey, D. (2007), Managing Investment Portfolios, CFA Institute. CFA Institute (2018), Investment risk profiling: a guide for financial advisors. ESMA (2022), Guidelines on certain aspects of the MiFID II suitability requirements, ESMA35-43-3172. Greninger, S., Hampton, V., Kitt, K. y Achacoso, J. (1996), Ratios and benchmarks for measuring the financial well-being of families and individuals, Financial Services Review 5(1).</w:t>
      </w:r>
      <w:r/>
    </w:p>
    <w:p>
      <w:pPr>
        <w:pStyle w:val="Heading1"/>
      </w:pPr>
      <w:r>
        <w:t>Parte 2. Metodología de la proyección</w:t>
      </w:r>
    </w:p>
    <w:p>
      <w:pPr>
        <w:spacing w:after="120" w:line="300"/>
      </w:pPr>
      <w:r>
        <w:t>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2.1 Manual de preguntas: qué alimenta cada una</w:t>
      </w:r>
    </w:p>
    <w:p>
      <w:pPr>
        <w:spacing w:after="120" w:line="300"/>
      </w:pPr>
      <w:r>
        <w:t>El cuestionario de planificación sigue el orden de la hoja «Proyección»: ingresos ordinarios, ingresos extraordinarios, gastos ordinarios, gastos extraordinarios, inversiones y desinversiones; después, los retiros del portafolio. Las preguntas que intervienen en un cálculo son obligatorias y llevan asterisco; las descriptivas son opcionales. Las columnas son 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50"/>
        <w:gridCol w:w="2300"/>
        <w:gridCol w:w="3276"/>
      </w:tblGrid>
      <w:tr>
        <w:trPr>
          <w:tblHeader/>
        </w:trPr>
        <w:tc>
          <w:tcPr>
            <w:tcW w:type="dxa" w:w="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N.º</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Pregunta</w:t>
            </w:r>
          </w:p>
        </w:tc>
        <w:tc>
          <w:tcPr>
            <w:tcW w:type="dxa" w:w="65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Oblig.</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 y columna del Excel</w:t>
            </w:r>
          </w:p>
        </w:tc>
        <w:tc>
          <w:tcPr>
            <w:tcW w:type="dxa" w:w="327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Cómo entra al cálculo</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independencia financiera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Horizonte · F15, E (fase)</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Separa acumulación y retiro: fin del ingreso por actividad y aplicación del gasto del retiro. Capacidad: horizonte.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total mensual, hasta qué edad, de dónde proviene (varias fuentes) y qué tan predecible 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 No incluye el ingreso de la pareja, la pensión ni otros ingresos recurrentes. Perfil financiero: ingresos totales (con la predictibilidad) y gastos totales. Fuentes: salario, empresa propia y honorarios. Un pensionado sin otro ingreso escribe 0 y no marca fuente.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Planificación individual o conjunta; si es conjunta, edad e ingreso de la pareja y hasta qué edad lo recibirá</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G; horizonte · M8, O8</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(si no la indica, hasta la independencia del cliente); se suma a los ingresos ordinarios. En la planificación conjunta el horizonte llega hasta la edad final del menor de los dos.</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y otros ingresos recurrentes adicionales a los del portafolio, con año de inicio y de fin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J y H</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desde su edad de inicio. Otros ingresos desde hoy o desde el año indicado, hasta el año de fin que indique el cliente o durante todo el horizonte (O9). Si el cliente no conoce el monto de la pensión, lo estima el asesor; mientras tanto no entra en la proyección. Si el cliente ya recibe la pensión, se pide el monto que recibe hoy y la edad a la que se pensionó; la pensión entra desde el año 1.</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 FCL y pensión voluntaria, con su operadora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K; ingresos extraordinarios · N</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El ROP se recibe como pensión (K). El FCL y la voluntaria se trasladan al portafolio en su año (N). La operadora es descriptiva. Si ya recibe la pensión: el ROP que ya cobra se incluye en el monto de la pensión y no se proyecta aparte; el saldo del FCL se traslada en el año 1.</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numerados y con nombre</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 · M</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indicado. En el Excel cada uno conserva su número y su nombre (tabla «Ingresos extraordinarios», debajo de la proyección).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familiar mensual y porcentaje en el retiro</w:t>
            </w:r>
            <w:r>
              <w:rPr>
                <w:sz w:val="19"/>
              </w:rPr>
              <w:t xml:space="preserve"> y porcentaje pagado en dólares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Q</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 12 × índice; desde la independencia, × el porcentaje declarado (V8). No incluye cuotas, donaciones ni los gastos de la pregunta 9. El porcentaje en dólares es informativo: mide la exposición al tipo de cambio. Si ya recibe la pensión, no se pide el porcentaje en el retiro y se toma 100%.</w:t>
            </w:r>
            <w:r>
              <w:rPr>
                <w:sz w:val="19"/>
              </w:rPr>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Personas que dependen del cliente (hijos y otros familiares)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Dato informativo: el costo de esas personas está en el gasto familiar (pregunta 7) o en la pregunta 9.</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de dependientes no incluidos en el gasto familiar</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R</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 índice durante los años indicados. Parentesco: hijo o hija, padre o madre, otro familiar u otro.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Donaciones al año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S</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 todos los años.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Deudas o pasivos, una por una, y reserva de liquidez</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 · T</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Cuota mensual × 12 de cada deuda hasta el año en que termina, sin indexar (tabla «Deudas»). Sin límite de cantidad. Perfil financiero: gastos totales. La reserva de liquidez no entra al flujo; es un componente de la capacidad financiera (reserva de liquidez).</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numerados, con nombre, año y frecuencia</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 · V</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o cada año desde ese año (tabla «Gastos extraordinarios»).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del portafolio y porcentaje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 · AD7 (capital inicial); portafolio · AI (año 1)</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inicial. Perfil financiero: tamaño del portafolio, inversiones y desinversiones. Patrimonio total. El dashboard calcula además el peso del portafolio con los activos declarados, como dato de control; no interviene en la proyección.</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Vivienda e inmuebles de inversión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 · I; gastos ordinarios · T; desinversiones · AA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hasta el año anterior a la venta; cuota de la hipoteca mientras dure el plazo; (valor − deuda) × porcentaje que invierte, en el año de la venta. «Sujeto a análisis» no se proyecta. Sin límite de cantidad de inmuebles.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15</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Empresa propia y su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AB</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 porcentaje que invierte, en el año de la venta. Patrimonio total.</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Capital privado y porcentaje de participación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Patrimonio total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Valor × participación. No interviene en la proyección.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17</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Venta de otros activos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 · AC</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el año de la venta. No incluye el capital privado de la pregunta 16. Sin límite de cantidad.</w:t>
            </w:r>
            <w:r>
              <w:rPr>
                <w:sz w:val="19"/>
              </w:rPr>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 del portafolio distinto de las metas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AG</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Perfil financiero: horizonte y desinversiones.</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19</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Metas y cómo se financian</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 · AF</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Solo las metas pagadas con una salida del portafolio. Las financiadas con crédito no se restan; su cuota va en la pregunta 11. Sin límite de cantidad.</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20</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Destino del patrimonio</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Sí</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Resultado</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La herencia, en dólares de hoy, es el saldo mínimo del rendimiento de equilibrio y de «¿alcanza el plan?».</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21</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Seguros vigentes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Proporción en dólares y colones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23</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Estructuras jurídicas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Diagnóstico operativo y fiscal</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r>
        <w:tc>
          <w:tcPr>
            <w:tcW w:type="dxa" w:w="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24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Comentarios</w:t>
            </w:r>
          </w:p>
        </w:tc>
        <w:tc>
          <w:tcPr>
            <w:tcW w:type="dxa" w:w="65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Descriptiva</w:t>
            </w:r>
          </w:p>
        </w:tc>
        <w:tc>
          <w:tcPr>
            <w:tcW w:type="dxa" w:w="327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interviene.</w:t>
            </w:r>
          </w:p>
        </w:tc>
      </w:tr>
    </w:tbl>
    <w:p>
      <w:pPr>
        <w:spacing w:after="120" w:line="300"/>
      </w:pPr>
      <w:r>
        <w:rPr>
          <w:b/>
          <w:bCs/>
        </w:rPr>
        <w:t xml:space="preserve">Cómo se unen las preguntas de un mismo bloque. </w:t>
      </w:r>
      <w:r>
        <w:t>Cada pregunta alimenta una sola columna, y ninguna cifra se pide dos veces:</w:t>
      </w:r>
    </w:p>
    <w:p>
      <w:pPr>
        <w:pStyle w:val="ListParagraph"/>
        <w:numPr>
          <w:ilvl w:val="0"/>
          <w:numId w:val="2"/>
        </w:numPr>
        <w:spacing w:after="60" w:line="290"/>
      </w:pPr>
      <w:r>
        <w:rPr>
          <w:b/>
          <w:bCs/>
        </w:rPr>
        <w:t>Ingresos totales (P) = ingresos ordinarios (L = F + G + H + I + J + K) + ingresos extraordinarios (O = M + N). G es el ingreso de la pareja, cuando la planificación es conjunta; el ingreso total del cliente (F) no lo incluye.</w:t>
      </w:r>
      <w:r/>
    </w:p>
    <w:p>
      <w:pPr>
        <w:pStyle w:val="ListParagraph"/>
        <w:numPr>
          <w:ilvl w:val="0"/>
          <w:numId w:val="2"/>
        </w:numPr>
        <w:spacing w:after="60" w:line="290"/>
      </w:pPr>
      <w:r>
        <w:rPr>
          <w:b/>
          <w:bCs/>
        </w:rPr>
        <w:t>Gastos totales (W) = gastos ordinarios (U = Q + R + S + T) + gastos extraordinarios (V). El gasto familiar excluye las cuotas, las donaciones y los gastos de dependientes de la pregunta 9, que se suman aparte.</w:t>
      </w:r>
      <w:r/>
    </w:p>
    <w:p>
      <w:pPr>
        <w:pStyle w:val="ListParagraph"/>
        <w:numPr>
          <w:ilvl w:val="0"/>
          <w:numId w:val="2"/>
        </w:numPr>
        <w:spacing w:after="60" w:line="290"/>
      </w:pPr>
      <w:r>
        <w:rPr>
          <w:b/>
          <w:bCs/>
        </w:rPr>
        <w:t>Flujo neto (X) = P − W. El superávit es la inversión del año (Y y su total Z); el déficit se retira del portafolio (AE).</w:t>
      </w:r>
      <w:r/>
    </w:p>
    <w:p>
      <w:pPr>
        <w:pStyle w:val="ListParagraph"/>
        <w:numPr>
          <w:ilvl w:val="0"/>
          <w:numId w:val="2"/>
        </w:numPr>
        <w:spacing w:after="60" w:line="290"/>
      </w:pPr>
      <w:r>
        <w:rPr>
          <w:b/>
          <w:bCs/>
        </w:rPr>
        <w:t>Desinversiones (AD) = AA + AB + AC: el dinero de la venta de activos que entra al portafolio.</w:t>
      </w:r>
      <w:r/>
    </w:p>
    <w:p>
      <w:pPr>
        <w:pStyle w:val="ListParagraph"/>
        <w:numPr>
          <w:ilvl w:val="0"/>
          <w:numId w:val="2"/>
        </w:numPr>
        <w:spacing w:after="60" w:line="290"/>
      </w:pPr>
      <w:r>
        <w:rPr>
          <w:b/>
          <w:bCs/>
        </w:rPr>
        <w:t>Retiros del portafolio (AH) = AE + AF + AG.</w:t>
      </w:r>
      <w:r/>
    </w:p>
    <w:p>
      <w:pPr>
        <w:spacing w:after="120" w:line="300"/>
      </w:pPr>
      <w:r>
        <w:t>Los cuestionarios llenados antes de octubre de 2026 no pedían alquileres, cuotas con plazo, gastos extraordinarios ni el primer retiro como monto proyectable: para ellos esas líneas quedan en cero hasta que se editen.</w:t>
      </w:r>
    </w:p>
    <w:p>
      <w:pPr>
        <w:pStyle w:val="Heading2"/>
      </w:pPr>
      <w:r>
        <w:t>2.2 Estructura del Excel</w:t>
      </w:r>
    </w:p>
    <w:p>
      <w:pPr>
        <w:pStyle w:val="ListParagraph"/>
        <w:numPr>
          <w:ilvl w:val="0"/>
          <w:numId w:val="2"/>
        </w:numPr>
        <w:spacing w:after="60" w:line="290"/>
      </w:pPr>
      <w:r>
        <w:rPr>
          <w:b/>
          <w:bCs/>
        </w:rPr>
        <w:t>Cliente: en las columnas B a E, el perfil de riesgo, el perfil financiero, las carteras asignada y de equilibrio y los resultados de la proyección, seguidos de los datos declarados, el patrimonio total y los supuestos; desde la columna G, los gráficos, separados de los datos.</w:t>
      </w:r>
      <w:r/>
    </w:p>
    <w:p>
      <w:pPr>
        <w:pStyle w:val="ListParagraph"/>
        <w:numPr>
          <w:ilvl w:val="0"/>
          <w:numId w:val="2"/>
        </w:numPr>
        <w:spacing w:after="60" w:line="290"/>
      </w:pPr>
      <w:r>
        <w:rPr>
          <w:b/>
          <w:bCs/>
        </w:rPr>
        <w:t>Proyección: título y nota en las filas 1 y 2. Desde la fila 4, cinco bloques con su título: supuestos (B:F, con los supuestos de la firma y los datos del cliente), ingresos ordinarios y extraordinarios (H:O), gastos ordinarios y extraordinarios (Q:W), inversiones, desinversiones y retiros (Y:AD) y el resumen del plan (AF:AN). Las celdas color crema son insumos editables; las líneas de los elementos con detalle por año muestran la suma de su tabla. Desde la fila 18, la proyección anual: banda, bloques y encabezados, y una fila por año desde la 21. Debajo, las tablas por año, con un elemento por columna desde la F, numerados como en el cuestionario; hay tantas columnas como la lista más larga, al menos diez, porque el cuestionario no limita la cantidad de elementos.</w:t>
      </w:r>
      <w:r/>
    </w:p>
    <w:p>
      <w:pPr>
        <w:pStyle w:val="ListParagraph"/>
        <w:numPr>
          <w:ilvl w:val="0"/>
          <w:numId w:val="2"/>
        </w:numPr>
        <w:spacing w:after="60" w:line="290"/>
      </w:pPr>
      <w:r>
        <w:rPr>
          <w:b/>
          <w:bCs/>
        </w:rPr>
        <w:t>Fondos de pensión: evolución del ROP, el FCL y la pensión voluntaria; quedan fijas las columnas de período y año, y las filas se desplazan libremente.</w:t>
      </w:r>
      <w:r/>
    </w:p>
    <w:p>
      <w:pPr>
        <w:pStyle w:val="ListParagraph"/>
        <w:numPr>
          <w:ilvl w:val="0"/>
          <w:numId w:val="2"/>
        </w:numPr>
        <w:spacing w:after="60" w:line="290"/>
      </w:pPr>
      <w:r>
        <w:rPr>
          <w:b/>
          <w:bCs/>
        </w:rPr>
        <w:t xml:space="preserve">Datos: </w:t>
      </w:r>
      <w:r>
        <w:t>insumos de los gráficos (perfil de riesgo, capacidad financiera, carteras y equilibrio).</w:t>
      </w:r>
    </w:p>
    <w:p>
      <w:pPr>
        <w:spacing w:after="120" w:line="300"/>
      </w:pPr>
      <w:r>
        <w:t>Los montos se declaran en valor de hoy y se llevan al año t con el índice (1 + inflación)^(t − 1). Cada monto se declara con su moneda (USD o CRC). El Excel registra el monto declarado y su moneda y, a la par, el monto en dólares con la fórmula monto / tipo de cambio (F7) cuando es en colones; la proyección usa el monto en dólares.</w:t>
      </w:r>
    </w:p>
    <w:p>
      <w:pPr>
        <w:spacing w:after="120" w:line="300"/>
      </w:pPr>
      <w:r>
        <w:rPr>
          <w:b/>
          <w:bCs/>
        </w:rPr>
        <w:t xml:space="preserve">Patrimonio total. </w:t>
      </w:r>
      <w:r>
        <w:t>Inversiones líquidas (este portafolio) + fondos de pensión + inmuebles de inversión + empresa (según la participación) + capital privado, menos la hipoteca, la deuda de los inmuebles y las otras deudas. No incluye la vivienda principal, cuyo valor no se pide.</w:t>
      </w:r>
    </w:p>
    <w:p>
      <w:pPr>
        <w:pStyle w:val="Heading2"/>
      </w:pPr>
      <w:r>
        <w:t>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 12 × índice, mientras dure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 Ingreso de la pareja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 mensual de la pareja × 12 × índice, hasta la edad indicada (solo en la planificación conjunta)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mensual × 12 × índice, desde su período de inicio hasta su período de fin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Alquiler mensual × 12 × índice, hasta el año anterior a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J Pensión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 12, con inflación general hasta el primer pago y con inflación de pensión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K Pensión del ROP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 + G + H + I + J + K</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Ingresos extraordinarios · N Traslados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 · 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 + 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Ingresos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L + 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mensual × 12 × índice; en el retiro × porcentaje (V8)</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 Donaciones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anual (V10)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Hipoteca y cada deuda: cuota mensual × 12 hasta que termina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Q + R + S +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V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Cada gasto × índice en su año, o cada año desde ese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Gastos totales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W</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U + V</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X</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 − W</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Y Superávit invertido · Z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X)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Inmuebles · AB Empresa · AC Otros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que entra al portafolio × índice en el año de la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AD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AA + AB + AC</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Retiros del 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Déficit</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MÍN(0, X)</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AF Metas · AG Primer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−monto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AH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AE + AF + AG</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 rendimiento del perfil financiero (F10)</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AK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MÁX(0, −(AI + AJ + Z + AD + AH))</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AI + AJ + Z + AD + AH + AK</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AM Real · AN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AL / (1 + inflación)^t · −AH / AI</w:t>
            </w:r>
          </w:p>
        </w:tc>
      </w:tr>
    </w:tbl>
    <w:p>
      <w:pPr>
        <w:spacing w:after="120" w:line="300"/>
      </w:pPr>
      <w:r>
        <w:t>El portafolio nunca baja de cero: si los retiros superan el saldo, el faltante se registra como gasto no cubierto. El dashboard muestra exactamente estas columnas y cifras.</w:t>
      </w:r>
    </w:p>
    <w:p>
      <w:pPr>
        <w:pStyle w:val="Heading2"/>
      </w:pPr>
      <w:r>
        <w:t>2.4 Fondos de pensión (Ley 7983)</w:t>
      </w:r>
    </w:p>
    <w:p>
      <w:pPr>
        <w:spacing w:after="120" w:line="300"/>
      </w:pPr>
      <w:r>
        <w:t>Cada fondo crece con sus aportes y su rendimiento: saldo final = saldo inicial + aportes + rendimiento − salidas. Los aportes se pagan hasta la independencia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No se traslada al portafolio. Se recibe como pensión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Se retira desde los 57 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Traslado en el año pedido por el cliente, o a los 57 si lo pidió antes.</w:t>
            </w:r>
          </w:p>
        </w:tc>
      </w:tr>
    </w:tbl>
    <w:p>
      <w:pPr>
        <w:spacing w:after="120" w:line="300"/>
      </w:pPr>
      <w:r>
        <w:t>r es el rendimiento anual de los fondos. La pensión del ROP entra como ingreso ordinario (columna K) y lo trasladado del FCL y la pensión voluntaria como ingreso extraordinario (columna N).</w:t>
      </w:r>
    </w:p>
    <w:p>
      <w:pPr>
        <w:pStyle w:val="Heading2"/>
      </w:pPr>
      <w:r>
        <w:t>2.5 Resultado: ¿alcanza el plan?</w:t>
      </w:r>
    </w:p>
    <w:p>
      <w:pPr>
        <w:shd w:fill="F4F5EE" w:color="auto" w:val="clear"/>
        <w:spacing w:after="120" w:before="60"/>
        <w:ind w:left="360"/>
      </w:pPr>
      <w:r>
        <w:rPr>
          <w:rFonts w:ascii="Consolas" w:cs="Consolas" w:eastAsia="Consolas" w:hAnsi="Consolas"/>
          <w:color w:val="2B3014"/>
          <w:sz w:val="19"/>
          <w:szCs w:val="19"/>
        </w:rPr>
        <w:t>Alcanza = (gasto no cubierto total = 0) y (saldo final en dólares de hoy ≥ herencia deseada)</w:t>
      </w:r>
    </w:p>
    <w:p>
      <w:pPr>
        <w:spacing w:after="120" w:line="300"/>
      </w:pPr>
      <w:r>
        <w:rPr>
          <w:b/>
          <w:bCs/>
        </w:rPr>
        <w:t xml:space="preserve">Rendimiento de equilibrio: </w:t>
      </w:r>
      <w:r>
        <w:t>el menor rendimiento anual con el que el plan alcanza. Se compara con el rendimiento del perfil financiero y se ubica en la frontera de las cinco carteras para indicar qué perfil sería necesario.</w:t>
      </w:r>
    </w:p>
    <w:p>
      <w:pPr>
        <w:spacing w:after="120" w:line="300"/>
      </w:pPr>
      <w:r>
        <w:rPr>
          <w:b/>
          <w:bCs/>
        </w:rPr>
        <w:t>Edad a la que se agota: primera edad con gasto no cubierto. Portafolio mínimo requerido: el menor capital inicial con el que, al rendimiento del perfil financiero, no hay gasto no cubierto y el saldo final cubre la herencia. Tasa de retiro inicial: retiro neto del primer año de retiro (gastos menos ingresos, más metas y retiros directos) sobre el portafolio inicial de ese año. Es menor que el gasto total sobre el portafolio cuando el cliente recibe pensión, alquileres u otros ingresos.</w:t>
      </w:r>
      <w:r/>
    </w:p>
    <w:p>
      <w:pPr>
        <w:spacing w:after="120" w:line="300"/>
      </w:pPr>
      <w:r>
        <w:rPr>
          <w:b/>
          <w:bCs/>
        </w:rPr>
        <w:t>Caminos para alcanzar el objetivo. Si el plan no alcanza, el dashboard, la ficha y el Excel (hoja Cliente) muestran, para cada variable, el cambio que por sí solo y con todo lo demás igual permite cumplir el objetivo, calculado por búsqueda binaria sobre la misma proyección: mayor rendimiento (el rendimiento de equilibrio y la cartera que lo da; no es un camino válido si exige un perfil por encima del perfil financiero), mayor capital inicial (el portafolio mínimo requerido), aporte anual adicional al portafolio durante la acumulación (en dólares de hoy, indexado), menor gasto familiar (porcentaje de reducción en todos los años), menores gastos extraordinarios, aporte mensual adicional a la pensión voluntaria (crece al rendimiento de los fondos y se traslada al portafolio a los 57 años o en la independencia, lo que ocurra después, según la Ley 7983), postergar la independencia financiera (más años de ingreso por actividad y de aportes) y menor herencia. Se indica cuántos caminos alcanzan por sí solos; también pueden combinarse, y combinados cada uno exige un ajuste menor.</w:t>
      </w:r>
      <w:r/>
    </w:p>
    <w:p>
      <w:pPr>
        <w:spacing w:after="120" w:line="300"/>
      </w:pPr>
      <w:r>
        <w:rPr>
          <w:b/>
          <w:bCs/>
        </w:rPr>
        <w:t>Margen del plan. Si el plan ya alcanza, el mismo cálculo muestra hasta dónde puede moverse cada variable sin que el plan deje de alcanzar: rendimiento mínimo, capital inicial mínimo, aumento máximo del gasto familiar, independencia más temprana posible y saldo final disponible frente a la herencia.</w:t>
      </w:r>
      <w:r/>
    </w:p>
    <w:p>
      <w:pPr>
        <w:pStyle w:val="Heading2"/>
      </w:pPr>
      <w:r>
        <w:t>2.6 Supuestos del analista</w:t>
      </w:r>
    </w:p>
    <w:p>
      <w:pPr>
        <w:spacing w:after="120" w:line="300"/>
      </w:pPr>
      <w:r>
        <w:t>Se fijan para cada cliente antes de calcular su proyección; los valores de la firma son el punto de partida. El panel solo muestra los supuestos que usa la proyección del cliente y que el cliente no respondió: si indicó en el cuestionario la edad de inicio de su pensión, la modalidad del ROP, sus aportes o el porcentaje de gasto en el retiro, esos datos se muestran como datos del cliente y no se vuelven a pedir. Los supuestos que no aplican (por ejemplo, el tipo de cambio de un cliente sin montos en colones o la inflación de la pensión de un cliente sin pensión ni ROP) quedan en N/A de forma automática, con su motivo; no entran a ninguna fórmula, así que el N/A no puede alterar la proyección. Un supuesto que el cliente sí usa nunca queda en N/A. La inflación de ingresos, la de salud y el ajuste de alquileres eran referenciales (no entraban a ninguna fórmula) y se retiraron del panel, del Excel y de la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Convierte colones a dólares (F7)</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Indexa gasto, salario y montos en dólares de hoy; deflacta a términos reales (F8)</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Inflación de la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Ajuste anual de la pensión después del primer pago (F9)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Primer año de la proyección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Último año proyectado: edad final del cliente o, si la planificación es conjunta, del menor de los dos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Gasto del retiro respecto del actual, según lo que declare el cliente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anual del ROP, el FCL y la pensión voluntaria</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Aporte mensual cuando el cliente no lo conoce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Inicio de la pensión y del ROP cuando el cliente no indica edad</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Rendimiento esperado que usa la proyección (celda F10)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2026-10-16T21:55:02.570Z</dcterms:created>
  <dcterms:modified xsi:type="dcterms:W3CDTF">2026-10-16T21:55:02.570Z</dcterms:modified>
</cp:coreProperties>
</file>

<file path=docProps/custom.xml><?xml version="1.0" encoding="utf-8"?>
<Properties xmlns="http://schemas.openxmlformats.org/officeDocument/2006/custom-properties" xmlns:vt="http://schemas.openxmlformats.org/officeDocument/2006/docPropsVTypes"/>
</file>