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1.20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B4:G23</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26 a 28 y desde la 29</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29,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y deudas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AG29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«Metas pagadas con el portafolio»: monto, moneda y año; total en W15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Las financiadas con crédito no entran.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19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18, 21, 22, 23 y 24. Quedan en la hoja Cliente; la 16 entra al patrimonio total y la 18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2026-10-23T00:45:34.521Z</dcterms:created>
  <dcterms:modified xsi:type="dcterms:W3CDTF">2026-10-23T00:45:34.521Z</dcterms:modified>
</cp:coreProperties>
</file>

<file path=docProps/custom.xml><?xml version="1.0" encoding="utf-8"?>
<Properties xmlns="http://schemas.openxmlformats.org/officeDocument/2006/custom-properties" xmlns:vt="http://schemas.openxmlformats.org/officeDocument/2006/docPropsVTypes"/>
</file>