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Chotocruz &amp; Co. · documento interno · versión 5.16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El método da dos conclusiones separadas, cada una con su puntaje de 0 a 10 y su perfil:</w:t>
      </w:r>
    </w:p>
    <w:p>
      <w:pPr>
        <w:pStyle w:val="ListParagraph"/>
        <w:numPr>
          <w:ilvl w:val="0"/>
          <w:numId w:val="2"/>
        </w:numPr>
        <w:spacing w:after="60" w:line="290"/>
      </w:pPr>
      <w:r>
        <w:rPr>
          <w:b/>
          <w:bCs/>
        </w:rPr>
        <w:t xml:space="preserve">Perfil de riesgo. </w:t>
      </w:r>
      <w:r>
        <w:t>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Perfil financiero. Agrega la capacidad financiera, medida con el flujo del cuestionario de planificación. El puntaje financiero es el menor entre el puntaje del perfil de riesgo y la capacidad financiera.</w:t>
      </w:r>
      <w:r/>
    </w:p>
    <w:p>
      <w:pPr>
        <w:pStyle w:val="ListParagraph"/>
        <w:numPr>
          <w:ilvl w:val="0"/>
          <w:numId w:val="2"/>
        </w:numPr>
        <w:spacing w:after="60" w:line="290"/>
      </w:pPr>
      <w:r>
        <w:t>La planificación puede confirmar o bajar el perfil de riesgo, nunca subirlo. La proyección usa el rendimiento del perfil financiero.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pérdida anual esperada de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pérdida anual esperada de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pérdida anual esperada de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pérdida anual esperada de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pérdida anual esperada de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 · 0%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1.5 Capacidad financiera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de cinco años (déficit, metas y primer retiro)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el perfil financiero queda igual al perfil de riesgo y el dashboard pide completar el cuestionario antes de proponer una cartera,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En familias, el conocimiento se mide con la pregunta 10 (alternativa única de inversión), que ya forma parte del perfil de riesgo; no se aplica otra vez. En instituciones se pregunta aparte y funciona como techo del perfil financiero: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1.7 Perfil financiero</w:t>
      </w:r>
    </w:p>
    <w:p>
      <w:pPr>
        <w:shd w:fill="F4F5EE" w:color="auto" w:val="clear"/>
        <w:spacing w:after="120" w:before="60"/>
        <w:ind w:left="360"/>
      </w:pPr>
      <w:r>
        <w:rPr>
          <w:rFonts w:ascii="Consolas" w:cs="Consolas" w:eastAsia="Consolas" w:hAnsi="Consolas"/>
          <w:color w:val="2B3014"/>
          <w:sz w:val="19"/>
          <w:szCs w:val="19"/>
        </w:rPr>
        <w:t>Puntaje financiero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Perfil financiero = tramo del puntaje financiero, con el techo de conocimiento si lo hay</w:t>
      </w:r>
    </w:p>
    <w:p>
      <w:pPr>
        <w:spacing w:after="120" w:line="300"/>
      </w:pPr>
      <w:r>
        <w:t>El perfil de riesgo y la capacidad usan la misma escala de 0 a 10 y los mismos cortes, para que se puedan comparar directamente. Si el techo de conocimiento es más bajo, el puntaje financiero queda en el límite superior del tramo que permite ese techo.</w:t>
      </w:r>
    </w:p>
    <w:p>
      <w:pPr>
        <w:spacing w:after="120" w:line="300"/>
      </w:pPr>
      <w:r>
        <w:rPr>
          <w:b/>
          <w:bCs/>
        </w:rPr>
        <w:t xml:space="preserve">Ejemplo. </w:t>
      </w:r>
      <w:r>
        <w:t>Perfil de riesgo 6,9 (moderado agresivo) y capacidad 5,0 (moderado): el puntaje financiero es 5,0 y el perfil financiero es moderado. La planificación bajó el perfil por la capacidad financiera.</w:t>
      </w:r>
    </w:p>
    <w:p>
      <w:pPr>
        <w:pStyle w:val="Heading2"/>
      </w:pPr>
      <w:r>
        <w:t>1.8 Presentación de los resultados</w:t>
      </w:r>
    </w:p>
    <w:p>
      <w:pPr>
        <w:spacing w:after="120" w:line="300"/>
      </w:pPr>
      <w:r>
        <w:t>El dashboard, la ficha PDF, la presentación de PowerPoint y el Excel muestran las dos conclusiones por separado. El encabezado del dashboard tiene seis cuadros con la misma estructura (título, cifra y una línea de contexto): perfil de riesgo, perfil financiero, rendimiento esperado con su cartera modelo,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Perfil financiero: radar con el perfil de riesgo y los siete componentes de la capacidad (la línea punteada es la capacidad; los componentes sin dato se rotulan «Sin dato»), barras del perfil de riesgo, la capacidad y sus componentes, puntaje financiero y perfil financiero, con una frase que dice si la planificación confirmó o bajó el perfil.</w:t>
      </w:r>
      <w:r/>
    </w:p>
    <w:p>
      <w:pPr>
        <w:pStyle w:val="ListParagraph"/>
        <w:numPr>
          <w:ilvl w:val="0"/>
          <w:numId w:val="2"/>
        </w:numPr>
        <w:spacing w:after="60" w:line="290"/>
      </w:pPr>
      <w:r>
        <w:rPr>
          <w:b/>
          <w:bCs/>
        </w:rPr>
        <w:t>Presentación de PowerPoint (botón «Descargar PPT» del dashboard). Sigue este orden: (1) objetivos del cliente: independencia financiera, gasto familiar, destino del patrimonio, horizonte y las metas y compromisos que el plan debe cubrir; (2) perfil del cliente: plano de tolerancia y apetito y radar del perfil financiero, con sus puntajes; (3) perfil del cliente: cifras clave y componentes de la capacidad financiera; (4) ingresos y gastos después del retiro, año por año, con sus promedios y la cobertura de los gastos; (5) ingresos y gastos por moneda: qué parte se recibe y se paga en dólares y en colones, y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 No incluye el ingreso de la pareja, la pensión ni otros ingresos recurrentes. Perfil financiero: ingresos totales (con la predictibilidad) y gastos totales.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Cuota mensual × 12 de cada deuda hasta el año en que termina, sin indexar (hoja «Gastos»). El cliente indica si esas cuotas ya están en su gasto familiar: si es así, no se suman de nuevo. Sin límite de cantidad. Perfil financiero: gastos totales; la reserva de liquidez es un componente aparte.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inicial. Perfil financiero: tamaño del portafolio, inversiones y desinversiones. Patrimonio total. El dashboard calcula además el peso del portafolio con los activos declarados, como dato de control; no interviene en la proyección.</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 propia y su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 del portafolio distinto de las metas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entra al flujo: el dinero que sale del portafolio ya está en los gastos y las metas. Perfil financiero: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Solo las metas pagadas con una salida del portafolio, como gasto extraordinario de su año. Las financiadas con crédito no se restan; su cuota va en la pregunta 11.</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Estructuras jurídicas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El primer retiro del portafolio (pregunta 18) no entra al flujo: es un dato del horizonte de la inversión. El dinero que sale del portafolio ya está en los gastos y en las metas; sumarlo lo contaría dos veces. Por la misma razón, si el cliente indica que las cuotas de sus deudas ya están en el gasto familiar, no se suman de nuevo.</w:t>
      </w:r>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pStyle w:val="Heading2"/>
      </w:pPr>
      <w:r>
        <w:t>2.2 Estructura del Excel</w:t>
      </w:r>
    </w:p>
    <w:p>
      <w:pPr>
        <w:pStyle w:val="ListParagraph"/>
        <w:numPr>
          <w:ilvl w:val="0"/>
          <w:numId w:val="2"/>
        </w:numPr>
        <w:spacing w:after="60" w:line="290"/>
      </w:pPr>
      <w:r>
        <w:rPr>
          <w:b/>
          <w:bCs/>
        </w:rPr>
        <w:t>Cliente: en las columnas B a E, el perfil de riesgo, el perfil financiero, las carteras asignada y de equilibrio y los resultados de la proyección, seguidos de los datos declarados, el patrimonio total y los supuestos; desde la columna G, los gráficos, separados de los datos.</w:t>
      </w:r>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26, la proyección anual: banda, bloques y encabezados, y una fila por año desde la 29.</w:t>
      </w:r>
      <w:r/>
    </w:p>
    <w:p>
      <w:pPr>
        <w:pStyle w:val="ListParagraph"/>
        <w:numPr>
          <w:ilvl w:val="0"/>
          <w:numId w:val="2"/>
        </w:numPr>
        <w:spacing w:after="60" w:line="290"/>
      </w:pPr>
      <w:r>
        <w:rPr>
          <w:b/>
          <w:bCs/>
        </w:rPr>
        <w:t>Ingresos, Gastos, Inversiones y Desinversiones: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y la parte del gasto familiar pagada en dólares (F22) y en colones (F23 = 100% − F22).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w:t>
      </w:r>
      <w:r>
        <w:t>insumos de los gráficos (perfil de riesgo, capacidad financiera,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Hoja «Fondos de pensión»,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rendimiento del perfil financiero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w:t>
      </w:r>
      <w:r>
        <w:t>el menor rendimiento anual con el que el plan alcanza. Se compara con el rendimiento del perfil financiero y se ubica en la frontera de las cinco carteras para indicar qué perfil sería necesario.</w:t>
      </w:r>
    </w:p>
    <w:p>
      <w:pPr>
        <w:spacing w:after="120" w:line="300"/>
      </w:pPr>
      <w:r>
        <w:rPr>
          <w:b/>
          <w:bCs/>
        </w:rPr>
        <w:t>Edad a la que se agota: primera edad con gasto no cubierto. Portafolio mínimo requerido: el menor capital inicial con el que, al rendimiento del perfil financiero,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r/>
    </w:p>
    <w:p>
      <w:pPr>
        <w:spacing w:after="120" w:line="300"/>
      </w:pPr>
      <w:r>
        <w:rPr>
          <w:b/>
          <w:bCs/>
        </w:rPr>
        <w:t>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financiero),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Escenarios. El dashboard (página 2) y la presentación comparan el plan actual con la independencia financiera hoy y dentro de 10, 15 y 20 años (solo las edades dentro del horizonte), con todo lo demás igual: el ingreso por actividad que terminaba con la independencia termina a la nueva edad y el gasto del retiro empieza en ella; el ingreso que el cliente declaró más allá de su independencia (por ejemplo, de su empresa) no cambia. Para cada escenario se muestran el portafolio al retiro (dólares nominales), el saldo final en dólares de hoy, la edad a la que se agota, su rendimiento de equilibrio y si alcanza, con un gráfico del portafolio en dólares de hoy por edad. Si el cliente ya es independiente, solo se muestra el plan actual. Al lado se comparan tres rendimientos: el que cubre los gastos hasta el final del horizonte sin dejar herencia, el de equilibrio (cubre los gastos y deja la herencia deseada, si se invierte hoy) y el de la cartera asignada. Los dos primeros se calculan por búsqueda binaria entre 0% y 30% sobre la misma proyección.</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