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 xml:space="preserve">Metodología del perfil de riesgo y de la proyección</w:t>
      </w:r>
    </w:p>
    <w:p>
      <w:pPr>
        <w:spacing w:after="120" w:line="300"/>
      </w:pPr>
      <w:r>
        <w:rPr>
          <w:color w:val="5A5E44"/>
        </w:rPr>
        <w:t xml:space="preserve">Chotocruz &amp; Co. · documento interno · versión 4.0 · octubre de 2026</w:t>
      </w:r>
    </w:p>
    <w:p>
      <w:pPr>
        <w:spacing w:after="120" w:line="300"/>
      </w:pPr>
      <w:r>
        <w:t xml:space="preserve">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 xml:space="preserve">Parte 1. Cálculo del perfil de riesgo</w:t>
      </w:r>
    </w:p>
    <w:p>
      <w:pPr>
        <w:pStyle w:val="Heading2"/>
      </w:pPr>
      <w:r>
        <w:t xml:space="preserve">1.1 Resumen del método</w:t>
      </w:r>
    </w:p>
    <w:p>
      <w:pPr>
        <w:spacing w:after="120" w:line="300"/>
      </w:pPr>
      <w:r>
        <w:t xml:space="preserve">El método da dos conclusiones separadas, cada una con su puntaje de 0 a 10 y su perfil:</w:t>
      </w:r>
    </w:p>
    <w:p>
      <w:pPr>
        <w:pStyle w:val="ListParagraph"/>
        <w:numPr>
          <w:ilvl w:val="0"/>
          <w:numId w:val="2"/>
        </w:numPr>
        <w:spacing w:after="60" w:line="290"/>
      </w:pPr>
      <w:r>
        <w:rPr>
          <w:b/>
          <w:bCs/>
        </w:rPr>
        <w:t xml:space="preserve">Perfil de riesgo. </w:t>
      </w:r>
      <w:r>
        <w:t xml:space="preserve">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 xml:space="preserve">Perfil global. </w:t>
      </w:r>
      <w:r>
        <w:t xml:space="preserve">Agrega la capacidad financiera, que sale solo del cuestionario de planificación. El puntaje global es el menor entre el puntaje del perfil de riesgo y la capacidad financiera.</w:t>
      </w:r>
    </w:p>
    <w:p>
      <w:pPr>
        <w:pStyle w:val="ListParagraph"/>
        <w:numPr>
          <w:ilvl w:val="0"/>
          <w:numId w:val="2"/>
        </w:numPr>
        <w:spacing w:after="60" w:line="290"/>
      </w:pPr>
      <w:r>
        <w:t xml:space="preserve">La planificación puede confirmar o bajar el perfil de riesgo, nunca subirlo. La proyección usa el rendimiento del perfil global.</w:t>
      </w:r>
    </w:p>
    <w:p>
      <w:pPr>
        <w:pStyle w:val="ListParagraph"/>
        <w:numPr>
          <w:ilvl w:val="0"/>
          <w:numId w:val="2"/>
        </w:numPr>
        <w:spacing w:after="60" w:line="290"/>
      </w:pPr>
      <w:r>
        <w:t xml:space="preserve">Ningún dato entra en los dos cuestionarios, así que ningún dato se cuenta dos veces.</w:t>
      </w:r>
    </w:p>
    <w:p>
      <w:pPr>
        <w:pStyle w:val="Heading2"/>
      </w:pPr>
      <w:r>
        <w:t xml:space="preserve">1.2 Puntaje de cada pregunta</w:t>
      </w:r>
    </w:p>
    <w:p>
      <w:pPr>
        <w:spacing w:after="120" w:line="300"/>
      </w:pPr>
      <w:r>
        <w:t xml:space="preserve">Las preguntas se presentan en el orden del cuestionario de familias. Al pie de cada una se indica su subescala y su peso.</w:t>
      </w:r>
    </w:p>
    <w:p>
      <w:pPr>
        <w:pStyle w:val="Heading3"/>
      </w:pPr>
      <w:r>
        <w:t xml:space="preserve">Pregunta 1. Significado del riesgo</w:t>
      </w:r>
    </w:p>
    <w:p>
      <w:pPr>
        <w:spacing w:after="120" w:line="300"/>
      </w:pPr>
      <w:r>
        <w:rPr>
          <w:i/>
          <w:iCs/>
        </w:rPr>
        <w:t xml:space="preserve">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2. Decisiones con información incompleta</w:t>
      </w:r>
    </w:p>
    <w:p>
      <w:pPr>
        <w:spacing w:after="120" w:line="300"/>
      </w:pPr>
      <w:r>
        <w:rPr>
          <w:i/>
          <w:iCs/>
        </w:rPr>
        <w:t xml:space="preserve">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3. Frecuencia de revisión</w:t>
      </w:r>
    </w:p>
    <w:p>
      <w:pPr>
        <w:spacing w:after="120" w:line="300"/>
      </w:pPr>
      <w:r>
        <w:rPr>
          <w:i/>
          <w:iCs/>
        </w:rPr>
        <w:t xml:space="preserve">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4. Pérdida frente a ganancia no obtenida</w:t>
      </w:r>
    </w:p>
    <w:p>
      <w:pPr>
        <w:spacing w:after="120" w:line="300"/>
      </w:pPr>
      <w:r>
        <w:rPr>
          <w:i/>
          <w:iCs/>
        </w:rPr>
        <w:t xml:space="preserve">¿Cuál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3"/>
      </w:pPr>
      <w:r>
        <w:t xml:space="preserve">Pregunta 5. Retorno esperado y caída máxima</w:t>
      </w:r>
    </w:p>
    <w:p>
      <w:pPr>
        <w:spacing w:after="120" w:line="300"/>
      </w:pPr>
      <w:r>
        <w:rPr>
          <w:i/>
          <w:iCs/>
        </w:rPr>
        <w:t xml:space="preserve">¿Qué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3"/>
      </w:pPr>
      <w:r>
        <w:t xml:space="preserve">Pregunta 6. Aportes frente a riesgo</w:t>
      </w:r>
    </w:p>
    <w:p>
      <w:pPr>
        <w:spacing w:after="120" w:line="300"/>
      </w:pPr>
      <w:r>
        <w:rPr>
          <w:i/>
          <w:iCs/>
        </w:rPr>
        <w:t xml:space="preserve">Para alcanzar sus metas financieras, puede depender más de sus aportes o asumir más riesgo buscando un mayor rendimiento del portafolio. ¿Qué prefiere?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aumentar mis aportes y asumir un nivel bajo de riesgo en el portafolio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aportar un poco más y mantener un nivel moderado de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mantener mis aportes previstos y aceptar un mayor nivel de riesgo para buscar más rendimiento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depender más del rendimiento del portafolio, aun si eso implica asumir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1.</w:t>
      </w:r>
    </w:p>
    <w:p>
      <w:pPr>
        <w:pStyle w:val="Heading3"/>
      </w:pPr>
      <w:r>
        <w:t xml:space="preserve">Pregunta 7. Reacción ante la última pérdida</w:t>
      </w:r>
    </w:p>
    <w:p>
      <w:pPr>
        <w:spacing w:after="120" w:line="300"/>
      </w:pPr>
      <w:r>
        <w:rPr>
          <w:i/>
          <w:iCs/>
        </w:rPr>
        <w:t xml:space="preserve">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cuenta</w:t>
            </w:r>
          </w:p>
        </w:tc>
      </w:tr>
    </w:tbl>
    <w:p>
      <w:pPr>
        <w:spacing w:after="120" w:line="300"/>
      </w:pPr>
      <w:r>
        <w:rPr>
          <w:b/>
          <w:bCs/>
        </w:rPr>
        <w:t xml:space="preserve">Subescala: </w:t>
      </w:r>
      <w:r>
        <w:t xml:space="preserve">Tolerancia. </w:t>
      </w:r>
      <w:r>
        <w:rPr>
          <w:b/>
          <w:bCs/>
        </w:rPr>
        <w:t xml:space="preserve">Peso: </w:t>
      </w:r>
      <w:r>
        <w:t xml:space="preserve">2.</w:t>
      </w:r>
      <w:r>
        <w:t xml:space="preserve"> Si responde «No aplica», la pregunta no entra al promedio.</w:t>
      </w:r>
    </w:p>
    <w:p>
      <w:pPr>
        <w:pStyle w:val="Heading3"/>
      </w:pPr>
      <w:r>
        <w:t xml:space="preserve">Pregunta 8. Uso de un año bueno</w:t>
      </w:r>
    </w:p>
    <w:p>
      <w:pPr>
        <w:spacing w:after="120" w:line="300"/>
      </w:pPr>
      <w:r>
        <w:rPr>
          <w:i/>
          <w:iCs/>
        </w:rPr>
        <w:t xml:space="preserve">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1.</w:t>
      </w:r>
    </w:p>
    <w:p>
      <w:pPr>
        <w:pStyle w:val="Heading3"/>
      </w:pPr>
      <w:r>
        <w:t xml:space="preserve">Pregunta 9. Reacción ante un año malo</w:t>
      </w:r>
    </w:p>
    <w:p>
      <w:pPr>
        <w:spacing w:after="120" w:line="300"/>
      </w:pPr>
      <w:r>
        <w:rPr>
          <w:i/>
          <w:iCs/>
        </w:rPr>
        <w:t xml:space="preserve">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2.</w:t>
      </w:r>
    </w:p>
    <w:p>
      <w:pPr>
        <w:pStyle w:val="Heading3"/>
      </w:pPr>
      <w:r>
        <w:t xml:space="preserve">Pregunta 10. Alternativa única de inversión</w:t>
      </w:r>
    </w:p>
    <w:p>
      <w:pPr>
        <w:spacing w:after="120" w:line="300"/>
      </w:pPr>
      <w:r>
        <w:rPr>
          <w:i/>
          <w:iCs/>
        </w:rPr>
        <w:t xml:space="preserve">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2"/>
      </w:pPr>
      <w:r>
        <w:t xml:space="preserve">1.3 Puntaje del perfil de riesgo</w:t>
      </w:r>
    </w:p>
    <w:p>
      <w:pPr>
        <w:spacing w:after="120" w:line="300"/>
      </w:pPr>
      <w:r>
        <w:t xml:space="preserve">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 xml:space="preserve">Puntaje del perfil de riesgo = Σ (puntaje × peso) / Σ (peso)</w:t>
      </w:r>
    </w:p>
    <w:p>
      <w:pPr>
        <w:spacing w:after="120" w:line="300"/>
      </w:pPr>
      <w:r>
        <w:t xml:space="preserve">Solo se suman las preguntas respondidas; una pregunta en blanco o «No aplica» sale del numerador y del denominador. Con todas respondidas, la suma de pesos es 15.</w:t>
      </w:r>
    </w:p>
    <w:p>
      <w:pPr>
        <w:spacing w:after="120" w:line="300"/>
      </w:pPr>
      <w:r>
        <w:t xml:space="preserve">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 xml:space="preserve">1.4 Los cinco perfiles</w:t>
      </w:r>
    </w:p>
    <w:p>
      <w:pPr>
        <w:spacing w:after="120" w:line="300"/>
      </w:pPr>
      <w:r>
        <w:t xml:space="preserve">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w:t>
            </w:r>
          </w:p>
        </w:tc>
      </w:tr>
    </w:tbl>
    <w:p>
      <w:pPr>
        <w:spacing w:after="120" w:line="300"/>
      </w:pPr>
      <w:r>
        <w:t xml:space="preserve">Si el puntaje del perfil de riesgo queda a menos de 0,4 puntos de un corte, el dashboard la marca como zona de frontera para confirmarla con el cliente. El perfil no cambia.</w:t>
      </w:r>
    </w:p>
    <w:p>
      <w:pPr>
        <w:pStyle w:val="Heading2"/>
      </w:pPr>
      <w:r>
        <w:t xml:space="preserve">1.5 Capacidad financiera</w:t>
      </w:r>
    </w:p>
    <w:p>
      <w:pPr>
        <w:spacing w:after="120" w:line="300"/>
      </w:pPr>
      <w:r>
        <w:t xml:space="preserve">Mide cuánto riesgo puede soportar el cliente, con independencia de cuánto quiere asumir. Se calcula solo con datos del cuestionario de planificación, con los seis componentes que las directrices de idoneidad de MiFID II (ESMA, 2018) y el marco de la política de inversión del CFA Institute (Maginn y otros, 2007) señalan para evaluar la capacidad de soportar pérdidas: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(ESMA, 2018; CFA Institute)</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Qué tan predecible es el ingreso total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humano: un ingreso estable se comporta como un bono y permite más riesgo en el portafolio (Ibbotson, Milevsky, Chen y Zhu, 2007)</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Holgura del flujo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 − gastos ordinarios − gastos extraordinarios) / ingresos ordinarios, primer año</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Fuente y nivel de los ingresos regulares frente a los compromisos financieros (ESMA,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Carga de deuda</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Cuotas de hipoteca y deudas / ingresos ordinarios, primer año</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Compromisos financieros regulares (ESMA, 2018); razón deuda-ingreso de uso bancario, con límite habitual de 36%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Parte del patrimonio total que representa el portafolio</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totales que representa la inversión (ESMA,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requerida</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los próximos cinco años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Restricción de liquidez de la política de inversión (CFA Institute). Retirar 4% al año (Bengen, 1994) equivale a 20% en cinco años</w:t>
            </w:r>
          </w:p>
        </w:tc>
      </w:tr>
    </w:tbl>
    <w:p>
      <w:pPr>
        <w:spacing w:after="120" w:line="300"/>
      </w:pPr>
      <w:r>
        <w:t xml:space="preserve">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15 años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Varía mucho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Varía moderadamente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Estable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Fijo o rentas consolidadas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Holgura del flujo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Déficit</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 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Carga de deuda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 a 74,9%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25%</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requerida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10%</w:t>
            </w:r>
          </w:p>
        </w:tc>
      </w:tr>
    </w:tbl>
    <w:p>
      <w:pPr>
        <w:shd w:fill="F4F5EE" w:color="auto" w:val="clear"/>
        <w:spacing w:after="120" w:before="60"/>
        <w:ind w:left="360"/>
      </w:pPr>
      <w:r>
        <w:rPr>
          <w:rFonts w:ascii="Consolas" w:cs="Consolas" w:eastAsia="Consolas" w:hAnsi="Consolas"/>
          <w:color w:val="2B3014"/>
          <w:sz w:val="19"/>
          <w:szCs w:val="19"/>
        </w:rPr>
        <w:t xml:space="preserve">Capacidad financiera = promedio simple de los componentes con dato</w:t>
      </w:r>
    </w:p>
    <w:p>
      <w:pPr>
        <w:spacing w:after="120" w:line="300"/>
      </w:pPr>
      <w:r>
        <w:t xml:space="preserve">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que no entran y por qué. </w:t>
      </w:r>
      <w:r>
        <w:t xml:space="preserve">El número de dependientes no entra por separado: su costo ya está en la holgura del flujo y en la liquidez requerida, y contarlo otra vez sería doble conteo. Los seguros protegen contra otros riesgos, pero no miden cuánta pérdida del portafolio soporta el cliente. Los flujos se proyectan sin rendimiento, así que la capacidad no depende del perfil que se asigne.</w:t>
      </w:r>
    </w:p>
    <w:p>
      <w:pPr>
        <w:spacing w:after="120" w:line="300"/>
      </w:pPr>
      <w:r>
        <w:t xml:space="preserve">Instituciones: horizonte de inversión declarado, estabilidad de los ingresos, peso del portafolio en sus activos y liquidez requerida (retiros netos de los primeros cinco años sobre el capital inicial). Los cuestionarios anteriores a octubre de 2026 no pedían cuotas de deuda, por lo que en ellos ese componente no se calcula.</w:t>
      </w:r>
    </w:p>
    <w:p>
      <w:pPr>
        <w:pStyle w:val="Heading2"/>
      </w:pPr>
      <w:r>
        <w:t xml:space="preserve">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 como techo del perfil global: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límite</w:t>
            </w:r>
          </w:p>
        </w:tc>
      </w:tr>
    </w:tbl>
    <w:p>
      <w:pPr>
        <w:pStyle w:val="Heading2"/>
      </w:pPr>
      <w:r>
        <w:t xml:space="preserve">1.7 Perfil global</w:t>
      </w:r>
    </w:p>
    <w:p>
      <w:pPr>
        <w:shd w:fill="F4F5EE" w:color="auto" w:val="clear"/>
        <w:spacing w:after="120" w:before="60"/>
        <w:ind w:left="360"/>
      </w:pPr>
      <w:r>
        <w:rPr>
          <w:rFonts w:ascii="Consolas" w:cs="Consolas" w:eastAsia="Consolas" w:hAnsi="Consolas"/>
          <w:color w:val="2B3014"/>
          <w:sz w:val="19"/>
          <w:szCs w:val="19"/>
        </w:rPr>
        <w:t xml:space="preserve">Puntaje global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 xml:space="preserve">Perfil global = tramo del puntaje global, con el techo de conocimiento si lo hay</w:t>
      </w:r>
    </w:p>
    <w:p>
      <w:pPr>
        <w:spacing w:after="120" w:line="300"/>
      </w:pPr>
      <w:r>
        <w:t xml:space="preserve">El perfil de riesgo y la capacidad usan la misma escala de 0 a 10 y los mismos cortes, para que se puedan comparar directamente. Si el techo de conocimiento es más bajo, el puntaje global queda en el límite superior del tramo que permite ese techo.</w:t>
      </w:r>
    </w:p>
    <w:p>
      <w:pPr>
        <w:spacing w:after="120" w:line="300"/>
      </w:pPr>
      <w:r>
        <w:rPr>
          <w:b/>
          <w:bCs/>
        </w:rPr>
        <w:t xml:space="preserve">Ejemplo. </w:t>
      </w:r>
      <w:r>
        <w:t xml:space="preserve">Perfil de riesgo 6,9 (moderado agresivo) y capacidad 5,0 (moderado): el puntaje global es 5,0 y el perfil global es moderado. La planificación bajó el perfil por la capacidad financiera.</w:t>
      </w:r>
    </w:p>
    <w:p>
      <w:pPr>
        <w:pStyle w:val="Heading2"/>
      </w:pPr>
      <w:r>
        <w:t xml:space="preserve">1.8 Presentación de los resultados</w:t>
      </w:r>
    </w:p>
    <w:p>
      <w:pPr>
        <w:spacing w:after="120" w:line="300"/>
      </w:pPr>
      <w:r>
        <w:t xml:space="preserve">El dashboard, la ficha PDF y el Excel muestran las dos conclusiones por separado:</w:t>
      </w:r>
    </w:p>
    <w:p>
      <w:pPr>
        <w:pStyle w:val="ListParagraph"/>
        <w:numPr>
          <w:ilvl w:val="0"/>
          <w:numId w:val="2"/>
        </w:numPr>
        <w:spacing w:after="60" w:line="290"/>
      </w:pPr>
      <w:r>
        <w:rPr>
          <w:b/>
          <w:bCs/>
        </w:rPr>
        <w:t xml:space="preserve">Perfil de riesgo: </w:t>
      </w:r>
      <w:r>
        <w:t xml:space="preserve">plano de tolerancia y apetito, barras de ambos, puntaje del perfil de riesgo y perfil de riesgo.</w:t>
      </w:r>
    </w:p>
    <w:p>
      <w:pPr>
        <w:pStyle w:val="ListParagraph"/>
        <w:numPr>
          <w:ilvl w:val="0"/>
          <w:numId w:val="2"/>
        </w:numPr>
        <w:spacing w:after="60" w:line="290"/>
      </w:pPr>
      <w:r>
        <w:rPr>
          <w:b/>
          <w:bCs/>
        </w:rPr>
        <w:t xml:space="preserve">Perfil global: </w:t>
      </w:r>
      <w:r>
        <w:t xml:space="preserve">radar de los componentes de la capacidad (la línea punteada es su promedio), barras del perfil de riesgo, la capacidad y sus componentes, puntaje global y perfil global, con una frase que dice si la planificación confirmó o bajó el perfil.</w:t>
      </w:r>
    </w:p>
    <w:p>
      <w:pPr>
        <w:pStyle w:val="Heading2"/>
      </w:pPr>
      <w:r>
        <w:t xml:space="preserve">1.9 Fundamento</w:t>
      </w:r>
    </w:p>
    <w:p>
      <w:pPr>
        <w:spacing w:after="120" w:line="300"/>
      </w:pPr>
      <w:r>
        <w:t xml:space="preserve">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 xml:space="preserve">Referencias. </w:t>
      </w:r>
      <w:r>
        <w:t xml:space="preserve">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w:t>
      </w:r>
    </w:p>
    <w:p>
      <w:pPr>
        <w:pStyle w:val="Heading1"/>
      </w:pPr>
      <w:r>
        <w:t xml:space="preserve">Parte 2. Metodología de la proyección</w:t>
      </w:r>
    </w:p>
    <w:p>
      <w:pPr>
        <w:spacing w:after="120" w:line="300"/>
      </w:pPr>
      <w:r>
        <w:t xml:space="preserve">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 xml:space="preserve">2.1 Manual de preguntas: qué alimenta cada una</w:t>
      </w:r>
    </w:p>
    <w:p>
      <w:pPr>
        <w:spacing w:after="120" w:line="300"/>
      </w:pPr>
      <w:r>
        <w:t xml:space="preserve">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 G7,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Separa acumulación y retiro: fin del ingreso por actividad y aplicación del gasto del retiro.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Planificación individual o conjunta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 que dependen del cliente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 costo entra por las preguntas 8 y 9; no se cuenta dos veces.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total mensual, hasta qué edad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Capacidad: estabilidad del ingreso, holgura del flujo y carga de deuda.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y otros ingresos recurrentes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 · I y G</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desde su edad de inicio. Otros ingresos desde hoy o desde el año indicado.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FCL y pensión voluntaria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 · J; ingresos extraordinarios · M</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ROP se recibe como pensión (J). El FCL y la voluntaria se trasladan al portafolio en su año (M). Detalle en la hoja «Fondos de pensión».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 por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 · 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el año indicado.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 y porcentaje en el retiro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 · P</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12 × índice; desde la independencia, × el porcentaje declarado (J2). No incluye cuotas ni los gastos de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 · Q</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anual × índice durante los años indicados.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Deudas distintas de la hipoteca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 12 mientras dure el plazo, sin indexar. Capacidad: carga de deuda.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anual × índice.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Capacidad: peso del portafolio y liquidez requerida.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 · H; gastos ordinarios · R; desinversiones · Y</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Alquiler hasta el año anterior a la venta; cuota de la hipoteca mientras dure el plazo; (valor − deuda) × porcentaje que invierte, en el año de la venta. «Sujeto a análisis» no se proyecta.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 · Z</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 · AA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el año de la venta.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 AE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Capacidad: horizonte y liquidez requerida.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las metas pagadas con una salida del portafolio. Las financiadas con crédito no se restan; su cuota va en la pregunta 10.</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 permite evaluar si la estructura actual es la adecuada.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interviene.</w:t>
            </w:r>
          </w:p>
        </w:tc>
      </w:tr>
    </w:tbl>
    <w:p>
      <w:pPr>
        <w:spacing w:after="120" w:line="300"/>
      </w:pPr>
      <w:r>
        <w:rPr>
          <w:b/>
          <w:bCs/>
        </w:rPr>
        <w:t xml:space="preserve">Cómo se unen las preguntas de un mismo bloque. </w:t>
      </w:r>
      <w:r>
        <w:t xml:space="preserve">Cada pregunta alimenta una sola columna, y ninguna cifra se pide dos veces:</w:t>
      </w:r>
    </w:p>
    <w:p>
      <w:pPr>
        <w:pStyle w:val="ListParagraph"/>
        <w:numPr>
          <w:ilvl w:val="0"/>
          <w:numId w:val="2"/>
        </w:numPr>
        <w:spacing w:after="60" w:line="290"/>
      </w:pPr>
      <w:r>
        <w:rPr>
          <w:b/>
          <w:bCs/>
        </w:rPr>
        <w:t xml:space="preserve">Ingresos totales (O) = </w:t>
      </w:r>
      <w:r>
        <w:t xml:space="preserve">ingresos ordinarios (K = F + G + H + I + J) + ingresos extraordinarios (N = L + M).</w:t>
      </w:r>
    </w:p>
    <w:p>
      <w:pPr>
        <w:pStyle w:val="ListParagraph"/>
        <w:numPr>
          <w:ilvl w:val="0"/>
          <w:numId w:val="2"/>
        </w:numPr>
        <w:spacing w:after="60" w:line="290"/>
      </w:pPr>
      <w:r>
        <w:rPr>
          <w:b/>
          <w:bCs/>
        </w:rPr>
        <w:t xml:space="preserve">Gastos totales (U) = </w:t>
      </w:r>
      <w:r>
        <w:t xml:space="preserve">gastos ordinarios (S = P + Q + R) + gastos extraordinarios (T). El gasto familiar excluye las cuotas y los gastos de dependientes de la pregunta 9, que se suman aparte.</w:t>
      </w:r>
    </w:p>
    <w:p>
      <w:pPr>
        <w:pStyle w:val="ListParagraph"/>
        <w:numPr>
          <w:ilvl w:val="0"/>
          <w:numId w:val="2"/>
        </w:numPr>
        <w:spacing w:after="60" w:line="290"/>
      </w:pPr>
      <w:r>
        <w:rPr>
          <w:b/>
          <w:bCs/>
        </w:rPr>
        <w:t xml:space="preserve">Flujo neto (V) = </w:t>
      </w:r>
      <w:r>
        <w:t xml:space="preserve">O − U. El superávit es la inversión del año (W y su total X); el déficit se retira del portafolio (AC).</w:t>
      </w:r>
    </w:p>
    <w:p>
      <w:pPr>
        <w:pStyle w:val="ListParagraph"/>
        <w:numPr>
          <w:ilvl w:val="0"/>
          <w:numId w:val="2"/>
        </w:numPr>
        <w:spacing w:after="60" w:line="290"/>
      </w:pPr>
      <w:r>
        <w:rPr>
          <w:b/>
          <w:bCs/>
        </w:rPr>
        <w:t xml:space="preserve">Desinversiones (AB) = </w:t>
      </w:r>
      <w:r>
        <w:t xml:space="preserve">Y + Z + AA: el dinero de la venta de activos que entra al portafolio.</w:t>
      </w:r>
    </w:p>
    <w:p>
      <w:pPr>
        <w:pStyle w:val="ListParagraph"/>
        <w:numPr>
          <w:ilvl w:val="0"/>
          <w:numId w:val="2"/>
        </w:numPr>
        <w:spacing w:after="60" w:line="290"/>
      </w:pPr>
      <w:r>
        <w:rPr>
          <w:b/>
          <w:bCs/>
        </w:rPr>
        <w:t xml:space="preserve">Retiros del portafolio (AF) = </w:t>
      </w:r>
      <w:r>
        <w:t xml:space="preserve">AC + AD + AE.</w:t>
      </w:r>
    </w:p>
    <w:p>
      <w:pPr>
        <w:spacing w:after="120" w:line="300"/>
      </w:pPr>
      <w:r>
        <w:t xml:space="preserve">Los cuestionarios llenados antes de octubre de 2026 no pedían alquileres, cuotas con plazo, gastos extraordinarios ni el primer retiro como monto proyectable: para ellos esas líneas quedan en cero hasta que se editen.</w:t>
      </w:r>
    </w:p>
    <w:p>
      <w:pPr>
        <w:pStyle w:val="Heading2"/>
      </w:pPr>
      <w:r>
        <w:t xml:space="preserve">2.2 Estructura del Excel</w:t>
      </w:r>
    </w:p>
    <w:p>
      <w:pPr>
        <w:pStyle w:val="ListParagraph"/>
        <w:numPr>
          <w:ilvl w:val="0"/>
          <w:numId w:val="2"/>
        </w:numPr>
        <w:spacing w:after="60" w:line="290"/>
      </w:pPr>
      <w:r>
        <w:rPr>
          <w:b/>
          <w:bCs/>
        </w:rPr>
        <w:t xml:space="preserve">Cliente: </w:t>
      </w:r>
      <w:r>
        <w:t xml:space="preserve">respuestas del cuestionario, perfil de riesgo, perfil global y patrimonio total.</w:t>
      </w:r>
    </w:p>
    <w:p>
      <w:pPr>
        <w:pStyle w:val="ListParagraph"/>
        <w:numPr>
          <w:ilvl w:val="0"/>
          <w:numId w:val="2"/>
        </w:numPr>
        <w:spacing w:after="60" w:line="290"/>
      </w:pPr>
      <w:r>
        <w:rPr>
          <w:b/>
          <w:bCs/>
        </w:rPr>
        <w:t xml:space="preserve">Proyección: </w:t>
      </w:r>
      <w:r>
        <w:t xml:space="preserve">insumos en las filas 1 a 14 (supuestos, ingresos, gastos y tablas de montos por año) y una fila por año desde la fila 17.</w:t>
      </w:r>
    </w:p>
    <w:p>
      <w:pPr>
        <w:pStyle w:val="ListParagraph"/>
        <w:numPr>
          <w:ilvl w:val="0"/>
          <w:numId w:val="2"/>
        </w:numPr>
        <w:spacing w:after="60" w:line="290"/>
      </w:pPr>
      <w:r>
        <w:rPr>
          <w:b/>
          <w:bCs/>
        </w:rPr>
        <w:t xml:space="preserve">Fondos de pensión: </w:t>
      </w:r>
      <w:r>
        <w:t xml:space="preserve">evolución del ROP, el FCL y la pensión voluntaria.</w:t>
      </w:r>
    </w:p>
    <w:p>
      <w:pPr>
        <w:pStyle w:val="ListParagraph"/>
        <w:numPr>
          <w:ilvl w:val="0"/>
          <w:numId w:val="2"/>
        </w:numPr>
        <w:spacing w:after="60" w:line="290"/>
      </w:pPr>
      <w:r>
        <w:rPr>
          <w:b/>
          <w:bCs/>
        </w:rPr>
        <w:t xml:space="preserve">Datos: </w:t>
      </w:r>
      <w:r>
        <w:t xml:space="preserve">insumos de los gráficos (perfil de riesgo, capacidad financiera, carteras y equilibrio).</w:t>
      </w:r>
    </w:p>
    <w:p>
      <w:pPr>
        <w:spacing w:after="120" w:line="300"/>
      </w:pPr>
      <w:r>
        <w:t xml:space="preserve">Los montos se declaran en dólares de hoy y se llevan al año t con el índice (1 + inflación)^(t − 1). Los montos en colones se dividen entre el tipo de cambio (D1).</w:t>
      </w:r>
    </w:p>
    <w:p>
      <w:pPr>
        <w:spacing w:after="120" w:line="300"/>
      </w:pPr>
      <w:r>
        <w:rPr>
          <w:b/>
          <w:bCs/>
        </w:rPr>
        <w:t xml:space="preserve">Patrimonio total. </w:t>
      </w:r>
      <w:r>
        <w:t xml:space="preserve">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 xml:space="preserve">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mensual × 12 × índice, desde su período de inicio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Pensión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 12, con inflación general hasta el primer pago y con inflación de pensión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 Pensión del ROP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 + G + H + I + 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Ingresos extraordinarios · M Traslados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M</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índice; en el retiro × porcentaje (J2)</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mientras dure el plazo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 + Q + 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extraordinario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W Superávit invertido · X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V) · W</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Y Inmuebles · Z Empresa · AA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AB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Y + Z + AA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 Déficit</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MÍN(0, V)</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AD Metas · AE Primer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AF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 + AD + 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del perfil global (D7)</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AI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−(AG + AH + X + AB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AH + X + AB + AF + AI</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AJ / (1 + inflación)^t · −AF / AG</w:t>
            </w:r>
          </w:p>
        </w:tc>
      </w:tr>
    </w:tbl>
    <w:p>
      <w:pPr>
        <w:spacing w:after="120" w:line="300"/>
      </w:pPr>
      <w:r>
        <w:t xml:space="preserve">El portafolio nunca baja de cero: si los retiros superan el saldo, el faltante se registra como gasto no cubierto. El dashboard muestra exactamente estas columnas y cifras.</w:t>
      </w:r>
    </w:p>
    <w:p>
      <w:pPr>
        <w:pStyle w:val="Heading2"/>
      </w:pPr>
      <w:r>
        <w:t xml:space="preserve">2.4 Fondos de pensión (Ley 7983)</w:t>
      </w:r>
    </w:p>
    <w:p>
      <w:pPr>
        <w:spacing w:after="120" w:line="300"/>
      </w:pPr>
      <w:r>
        <w:t xml:space="preserve">Cada fondo crece con sus aportes y su rendimiento: saldo final = saldo inicial + aportes + rendimiento − salidas. Los aportes se pagan hasta la independencia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traslada al portafolio. Se recibe como pensión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 retira desde los 57 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en el año pedido por el cliente, o a los 57 si lo pidió antes.</w:t>
            </w:r>
          </w:p>
        </w:tc>
      </w:tr>
    </w:tbl>
    <w:p>
      <w:pPr>
        <w:spacing w:after="120" w:line="300"/>
      </w:pPr>
      <w:r>
        <w:t xml:space="preserve">r es el rendimiento anual de los fondos. La pensión del ROP entra como ingreso ordinario (columna J) y lo trasladado del FCL y la pensión voluntaria como ingreso extraordinario (columna N).</w:t>
      </w:r>
    </w:p>
    <w:p>
      <w:pPr>
        <w:pStyle w:val="Heading2"/>
      </w:pPr>
      <w:r>
        <w:t xml:space="preserve">2.5 Resultado: ¿alcanza el plan?</w:t>
      </w:r>
    </w:p>
    <w:p>
      <w:pPr>
        <w:shd w:fill="F4F5EE" w:color="auto" w:val="clear"/>
        <w:spacing w:after="120" w:before="60"/>
        <w:ind w:left="360"/>
      </w:pPr>
      <w:r>
        <w:rPr>
          <w:rFonts w:ascii="Consolas" w:cs="Consolas" w:eastAsia="Consolas" w:hAnsi="Consolas"/>
          <w:color w:val="2B3014"/>
          <w:sz w:val="19"/>
          <w:szCs w:val="19"/>
        </w:rPr>
        <w:t xml:space="preserve">Alcanza = (gasto no cubierto total = 0) y (saldo final en dólares de hoy ≥ herencia deseada)</w:t>
      </w:r>
    </w:p>
    <w:p>
      <w:pPr>
        <w:spacing w:after="120" w:line="300"/>
      </w:pPr>
      <w:r>
        <w:rPr>
          <w:b/>
          <w:bCs/>
        </w:rPr>
        <w:t xml:space="preserve">Rendimiento de equilibrio: </w:t>
      </w:r>
      <w:r>
        <w:t xml:space="preserve">el menor rendimiento anual con el que el plan alcanza. Se compara con el rendimiento del perfil global y se ubica en la frontera de las cinco carteras para indicar qué perfil sería necesario.</w:t>
      </w:r>
    </w:p>
    <w:p>
      <w:pPr>
        <w:spacing w:after="120" w:line="300"/>
      </w:pPr>
      <w:r>
        <w:rPr>
          <w:b/>
          <w:bCs/>
        </w:rPr>
        <w:t xml:space="preserve">Edad a la que se agota: </w:t>
      </w:r>
      <w:r>
        <w:t xml:space="preserve">primera edad con gasto no cubierto.</w:t>
      </w:r>
    </w:p>
    <w:p>
      <w:pPr>
        <w:pStyle w:val="Heading2"/>
      </w:pPr>
      <w:r>
        <w:t xml:space="preserve">2.6 Supuestos del analista</w:t>
      </w:r>
    </w:p>
    <w:p>
      <w:pPr>
        <w:spacing w:after="120" w:line="300"/>
      </w:pPr>
      <w:r>
        <w:t xml:space="preserve">Se fijan para cada cliente antes de calcular su proyección; los valores de la firma son el punto de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Convierte colones a dólares (D1)</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 gasto, salario y montos en dólares de hoy; deflacta a términos reales (D3)</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la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Ajuste anual de la pensión después del primer pago (D4)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 salud y ajuste de alquileres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 · 8% · 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entran a las fórmulas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Último año proyectado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del retiro respecto del actual, según lo que declare el cliente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anual del ROP, el FCL y la pensión voluntaria</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cuando el cliente no lo conoce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pensión y del ROP cuando el cliente no indica edad</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que usa la proyección (celda D7)</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