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5.24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Estrategia de flujo de caja por moneda</w:t>
      </w:r>
    </w:p>
    <w:p>
      <w:pPr>
        <w:spacing w:after="120" w:line="300"/>
      </w:pPr>
      <w:r>
        <w:t xml:space="preserve">Responde cuánto debe tener invertido el cliente en renta fija en colones (Costa Rica) y en dólares para cubrir sus gastos de cada moneda, y cuánto queda para renta variable. Cada año de la proyección, los ingresos y los gastos se separan por la moneda en que el cliente los declaró (el gasto familiar, según el porcentaje que paga en dólares; los demás elementos, según su moneda).</w:t>
      </w:r>
    </w:p>
    <w:p>
      <w:pPr>
        <w:spacing w:after="120" w:line="300"/>
      </w:pPr>
      <w:r>
        <w:t xml:space="preserve">Obligación neta de una moneda en el año t = gastos − ingresos en esa moneda; si es positiva, la cubre el portafolio. Renta fija necesaria en la moneda = suma de las obligaciones netas de todo el horizonte ÷ (1 + rendimiento de la renta fija de esa moneda)^(t − 1 + meses del primer año / 12). Los rendimientos son valores de la firma, editables: renta fija en colones (Costa Rica) 5,6% y renta fija en dólares 5,46%.</w:t>
      </w:r>
    </w:p>
    <w:p>
      <w:pPr>
        <w:spacing w:after="120" w:line="300"/>
      </w:pPr>
      <w:r>
        <w:t xml:space="preserve">Disponible para renta variable = capital inicial − renta fija necesaria. Si la renta fija necesaria supera el capital, el dashboard lo señala. La renta fija de la cartera sugerida se divide entre colones y dólares en la misma proporción que la renta fija necesaria de cada moneda, y se compara con lo necesario. Está en el dashboard (página 2, después de la cartera sugerida), la ficha, la presentación y la hoja Cliente del Excel.</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el procedimiento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2026-10-29T00:30:00Z</dcterms:modified>
</cp:coreProperties>
</file>

<file path=docProps/custom.xml><?xml version="1.0" encoding="utf-8"?>
<Properties xmlns="http://schemas.openxmlformats.org/officeDocument/2006/custom-properties" xmlns:vt="http://schemas.openxmlformats.org/officeDocument/2006/docPropsVTypes"/>
</file>