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b/>
          <w:bCs/>
          <w:color w:val="2B3014"/>
          <w:sz w:val="40"/>
          <w:szCs w:val="40"/>
        </w:rPr>
        <w:t>Metodología del perfil de riesgo y de la proyección</w:t>
      </w:r>
    </w:p>
    <w:p>
      <w:pPr>
        <w:spacing w:after="120" w:line="300"/>
      </w:pPr>
      <w:r>
        <w:rPr>
          <w:color w:val="5A5E44"/>
        </w:rPr>
        <w:t xml:space="preserve">Chotocruz &amp; Co. · documento interno · versión 5.31 · octubre de 2026</w:t>
      </w:r>
    </w:p>
    <w:p>
      <w:pPr>
        <w:spacing w:after="120" w:line="300"/>
      </w:pPr>
      <w:r>
        <w:t>El documento tiene dos partes. La primera explica cómo se calcula el perfil de riesgo a partir de las respuestas del cuestionario. La segunda explica cómo se calcula la proyección del Excel: sus fórmulas, las preguntas que la alimentan y los supuestos que fija el analista.</w:t>
      </w:r>
    </w:p>
    <w:p>
      <w:pPr>
        <w:pStyle w:val="Heading1"/>
      </w:pPr>
      <w:r>
        <w:t>Parte 1. Cálculo del perfil de riesgo</w:t>
      </w:r>
    </w:p>
    <w:p>
      <w:pPr>
        <w:pStyle w:val="Heading2"/>
      </w:pPr>
      <w:r>
        <w:t>1.1 Resumen del método</w:t>
      </w:r>
    </w:p>
    <w:p>
      <w:pPr>
        <w:spacing w:after="120" w:line="300"/>
      </w:pPr>
      <w:r>
        <w:t xml:space="preserve">El método da una conclusión de riesgo, con su puntaje de 0 a 10 y su perfil, y la acompaña con el detalle de activos y pasivos del cliente:</w:t>
      </w:r>
    </w:p>
    <w:p>
      <w:pPr>
        <w:pStyle w:val="ListParagraph"/>
        <w:numPr>
          <w:ilvl w:val="0"/>
          <w:numId w:val="2"/>
        </w:numPr>
        <w:spacing w:after="60" w:line="290"/>
      </w:pPr>
      <w:r>
        <w:rPr>
          <w:b/>
          <w:bCs/>
        </w:rPr>
        <w:t xml:space="preserve">Perfil de riesgo. Sale solo de las diez preguntas del cuestionario 1. Su puntaje es el promedio ponderado de las diez respuestas y se ubica en uno de los cinco perfiles. La cartera se asigna con este perfil.</w:t>
      </w:r>
    </w:p>
    <w:p>
      <w:pPr>
        <w:pStyle w:val="ListParagraph"/>
        <w:numPr>
          <w:ilvl w:val="0"/>
          <w:numId w:val="2"/>
        </w:numPr>
        <w:spacing w:after="60" w:line="290"/>
      </w:pPr>
      <w:r>
        <w:rPr>
          <w:b/>
          <w:bCs/>
        </w:rPr>
        <w:t xml:space="preserve">Detalle de activos y pasivos. Lista los activos declarados, del más líquido al menos líquido, y los pasivos, del corto al largo plazo, con el patrimonio neto. Desde la versión 5.20 reemplaza al perfil financiero: la capacidad financiera ya no limita la cartera.</w:t>
      </w:r>
    </w:p>
    <w:p>
      <w:pPr>
        <w:pStyle w:val="ListParagraph"/>
        <w:numPr>
          <w:ilvl w:val="0"/>
          <w:numId w:val="2"/>
        </w:numPr>
        <w:spacing w:after="60" w:line="290"/>
      </w:pPr>
      <w:r>
        <w:t xml:space="preserve">La proyección usa el rendimiento de la cartera del perfil de riesgo (rendimiento esperado) y lo compara con el rendimiento de equilibrio (rendimiento mínimo necesario).</w:t>
      </w:r>
    </w:p>
    <w:p>
      <w:pPr>
        <w:pStyle w:val="ListParagraph"/>
        <w:numPr>
          <w:ilvl w:val="0"/>
          <w:numId w:val="2"/>
        </w:numPr>
        <w:spacing w:after="60" w:line="290"/>
      </w:pPr>
      <w:r>
        <w:t>Ningún dato entra en los dos cuestionarios, así que ningún dato se cuenta dos veces.</w:t>
      </w:r>
    </w:p>
    <w:p>
      <w:pPr>
        <w:pStyle w:val="Heading2"/>
      </w:pPr>
      <w:r>
        <w:t>1.2 Puntaje de cada pregunta</w:t>
      </w:r>
    </w:p>
    <w:p>
      <w:pPr>
        <w:spacing w:after="120" w:line="300"/>
      </w:pPr>
      <w:r>
        <w:t>Las preguntas se presentan en el orden del cuestionario de familias. Al pie de cada una se indica su subescala y su peso.</w:t>
      </w:r>
    </w:p>
    <w:p>
      <w:pPr>
        <w:pStyle w:val="Heading3"/>
      </w:pPr>
      <w:r>
        <w:t>Pregunta 1. Significado del riesgo</w:t>
      </w:r>
    </w:p>
    <w:p>
      <w:pPr>
        <w:spacing w:after="120" w:line="300"/>
      </w:pPr>
      <w:r>
        <w:rPr>
          <w:i/>
          <w:iCs/>
        </w:rPr>
        <w:t>Cuando escucha la palabra «riesgo» referida a su patrimonio, ¿qué es lo primero que le viene a la 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Pérdida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Preocupación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Incertidumbre</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2. Decisiones con información incompleta</w:t>
      </w:r>
    </w:p>
    <w:p>
      <w:pPr>
        <w:spacing w:after="120" w:line="300"/>
      </w:pPr>
      <w:r>
        <w:rPr>
          <w:i/>
          <w:iCs/>
        </w:rPr>
        <w:t>Cuando debe decidir sobre una inversión y no tiene toda la información que quisiera, ¿qué hace normalmente?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esperar hasta contar con más información, aunque pueda perder la 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Busco una segunda opinión o asesoría antes de tomar la decisión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Decido con la información disponible y reviso la decisión conforme aparece nueva información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Tomo la decisión con rapidez si considero que la oportunidad lo justifica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3. Frecuencia de revisión</w:t>
      </w:r>
    </w:p>
    <w:p>
      <w:pPr>
        <w:spacing w:after="120" w:line="300"/>
      </w:pPr>
      <w:r>
        <w:rPr>
          <w:i/>
          <w:iCs/>
        </w:rPr>
        <w:t>Si su portafolio estuviera invertido hoy, ¿con qué frecuencia sentiría la necesidad de revisar su valor?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Varias veces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al mes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tres meses o con menor frecuencia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4. Pérdida frente a ganancia no obtenida</w:t>
      </w:r>
    </w:p>
    <w:p>
      <w:pPr>
        <w:spacing w:after="120" w:line="300"/>
      </w:pPr>
      <w:r>
        <w:rPr>
          <w:i/>
          <w:iCs/>
        </w:rPr>
        <w:t>¿Cuál de estas dos situaciones le incomodaría más?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pierda 20% en un año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deje de ganar el 20% que sí ganó el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5. Retorno esperado y caída máxima</w:t>
      </w:r>
    </w:p>
    <w:p>
      <w:pPr>
        <w:spacing w:after="120" w:line="300"/>
      </w:pPr>
      <w:r>
        <w:rPr>
          <w:i/>
          <w:iCs/>
        </w:rPr>
        <w:t>¿Qué combinación de rendimiento esperado y pérdida máxima en un año aceptaría?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5% a 5,5% · posible pérdida en un año desfavorable de hasta −5%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6% a 6,5% · posible pérdida en un año desfavorable de hasta −7%</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7% a 7,5% · posible pérdida en un año desfavorable de hasta −9%</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8% a 8,5% · posible pérdida en un año desfavorable de hasta −12%</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9% a 9,5% · posible pérdida en un año desfavorable de hasta −16%</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6. Aportes o retiros frente a riesgo</w:t>
      </w:r>
    </w:p>
    <w:p>
      <w:pPr>
        <w:spacing w:after="120" w:line="300"/>
      </w:pPr>
      <w:r>
        <w:rPr>
          <w:i/>
          <w:iCs/>
        </w:rPr>
        <w:t>Primero el cliente indica si hoy aporta a sus inversiones o vive de ellas; según la respuesta ve una de dos versiones, con los mismos puntajes. Aporta: «Para alcanzar sus metas financieras, ¿qué prefiere?». Vive de ellas: «Para que su portafolio sostenga sus retiros, ¿qué prefiere?». Así la pregunta también aplica a quien ya no puede aportar, porque su palanca equivalente es retirar menos.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Aumentar mis aportes y mantener un riesgo bajo · Vive del portafolio: Reducir mis retiros y mantener un riesgo bajo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Aportar un poco más con un riesgo moderado · Vive del portafolio: Reducir un poco mis retiros con un riesgo moderado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Mantener mis aportes y aceptar más riesgo · Vive del portafolio: Mantener mis retiros y aceptar más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Depender sobre todo del rendimiento, aun con fluctuaciones mayores · Vive del portafolio: Mantener o aumentar mis retiros apoyándome en el rendimiento, aun con fluctuaciones mayores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7. Reacción ante la última pérdida</w:t>
      </w:r>
    </w:p>
    <w:p>
      <w:pPr>
        <w:spacing w:after="120" w:line="300"/>
      </w:pPr>
      <w:r>
        <w:rPr>
          <w:i/>
          <w:iCs/>
        </w:rPr>
        <w:t>La última vez que una inversión, un negocio o una propiedad suya perdió valor de forma importante, ¿qué hizo?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Vendí o salí de la inversión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Reduje parte de mi exposición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Mantuve mi posición sin hacer cambios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Aumenté mi exposición aprovechando la caída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aplica: no he vivido una situación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cuenta</w:t>
            </w:r>
          </w:p>
        </w:tc>
      </w:tr>
    </w:tbl>
    <w:p>
      <w:pPr>
        <w:spacing w:after="120" w:line="300"/>
      </w:pPr>
      <w:r>
        <w:rPr>
          <w:b/>
          <w:bCs/>
        </w:rPr>
        <w:t xml:space="preserve">Subescala: </w:t>
      </w:r>
      <w:r>
        <w:t xml:space="preserve">Tolerancia. </w:t>
      </w:r>
      <w:r>
        <w:rPr>
          <w:b/>
          <w:bCs/>
        </w:rPr>
        <w:t xml:space="preserve">Peso: </w:t>
      </w:r>
      <w:r>
        <w:t>2.</w:t>
      </w:r>
      <w:r>
        <w:t xml:space="preserve"> Si responde «No aplica», la pregunta no entra al promedio.</w:t>
      </w:r>
    </w:p>
    <w:p>
      <w:pPr>
        <w:pStyle w:val="Heading3"/>
      </w:pPr>
      <w:r>
        <w:t>Pregunta 8. Uso de un año bueno</w:t>
      </w:r>
    </w:p>
    <w:p>
      <w:pPr>
        <w:spacing w:after="120" w:line="300"/>
      </w:pPr>
      <w:r>
        <w:rPr>
          <w:i/>
          <w:iCs/>
        </w:rPr>
        <w:t>Después de un año excepcionalmente bueno en su empresa o en su portafolio, ¿qué suele hacer con ese excedente?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mantengo en liquidez para contar con una reserva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utilizo para reducir deuda u otros compromisos financieros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distribuyo entre ahorro, inversión y otros objetivos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reinvierto manteniendo una estrategia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destino a nuevas oportunidades con mayor potencial y mayor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9. Reacción ante un año malo</w:t>
      </w:r>
    </w:p>
    <w:p>
      <w:pPr>
        <w:spacing w:after="120" w:line="300"/>
      </w:pPr>
      <w:r>
        <w:rPr>
          <w:i/>
          <w:iCs/>
        </w:rPr>
        <w:t>Después de un año excepcionalmente malo en su portafolio, ¿qué suele hacer?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Reduzco mi exposición y aumento la liquidez</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Hago algunos ajustes para disminuir el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Mantengo la estrategia sin cambios importantes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Rebalanceo y aprovecho algunas oportunidades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Aumento mi exposición buscando beneficiarme de la recuperación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2.</w:t>
      </w:r>
    </w:p>
    <w:p>
      <w:pPr>
        <w:pStyle w:val="Heading3"/>
      </w:pPr>
      <w:r>
        <w:t>Pregunta 10. Alternativa única de inversión</w:t>
      </w:r>
    </w:p>
    <w:p>
      <w:pPr>
        <w:spacing w:after="120" w:line="300"/>
      </w:pPr>
      <w:r>
        <w:rPr>
          <w:i/>
          <w:iCs/>
        </w:rPr>
        <w:t>Si tuviera que invertir una parte de su patrimonio en una sola alternativa durante varios años, ¿cuál elegiría? No puede combinar varias opciones.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Certificado de depósito bancario · rendimiento esperado de 3% a 4% anual · sin fluctuaciones de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Bonos de alta calidad · rendimiento esperado de 4% a 5% anual · fluctuaciones anuales de aproximadamente ±3%</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Inversión inmobiliaria diversificada · rendimiento esperado de 6% a 7% anual · fluctuaciones anuales de aproximadamente ±8%</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Acciones globales diversificadas · rendimiento esperado de 8% a 9% anual · fluctuaciones anuales de aproximadamente ±15%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2"/>
      </w:pPr>
      <w:r>
        <w:t>1.3 Puntaje del perfil de riesgo</w:t>
      </w:r>
    </w:p>
    <w:p>
      <w:pPr>
        <w:spacing w:after="120" w:line="300"/>
      </w:pPr>
      <w:r>
        <w:t>Es el promedio ponderado de las diez preguntas. Las preguntas que miden conducta o decisiones concretas (4, 5, 7, 9 y 10 del cuestionario) pesan el doble que las de percepción.</w:t>
      </w:r>
    </w:p>
    <w:p>
      <w:pPr>
        <w:shd w:fill="F4F5EE" w:color="auto" w:val="clear"/>
        <w:spacing w:after="120" w:before="60"/>
        <w:ind w:left="360"/>
      </w:pPr>
      <w:r>
        <w:rPr>
          <w:rFonts w:ascii="Consolas" w:cs="Consolas" w:eastAsia="Consolas" w:hAnsi="Consolas"/>
          <w:color w:val="2B3014"/>
          <w:sz w:val="19"/>
          <w:szCs w:val="19"/>
        </w:rPr>
        <w:t>Puntaje del perfil de riesgo = Σ (puntaje × peso) / Σ (peso)</w:t>
      </w:r>
    </w:p>
    <w:p>
      <w:pPr>
        <w:spacing w:after="120" w:line="300"/>
      </w:pPr>
      <w:r>
        <w:t>Solo se suman las preguntas respondidas; una pregunta en blanco o «No aplica» sale del numerador y del denominador. Con todas respondidas, la suma de pesos es 15.</w:t>
      </w:r>
    </w:p>
    <w:p>
      <w:pPr>
        <w:spacing w:after="120" w:line="300"/>
      </w:pPr>
      <w:r>
        <w:t>La tolerancia (preguntas 1, 2, 3, 7 y 9) y el apetito (preguntas 4, 5, 6, 8 y 10) se calculan con la misma fórmula. Son los dos ejes del plano del perfil de riesgo: la tolerancia en el eje horizontal y el apetito en el vertical. Las franjas diagonales del plano son los cinco perfiles y salen de la misma fórmula del puntaje, por lo que la posición del cliente en el plano y su perfil siempre coinciden.</w:t>
      </w:r>
    </w:p>
    <w:p>
      <w:pPr>
        <w:pStyle w:val="Heading2"/>
      </w:pPr>
      <w:r>
        <w:t>1.4 Los cinco perfiles</w:t>
      </w:r>
    </w:p>
    <w:p>
      <w:pPr>
        <w:spacing w:after="120" w:line="300"/>
      </w:pPr>
      <w:r>
        <w:t>La escala de 0 a 10 se divide en cinco tramos de igual amplitud: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000"/>
        <w:gridCol w:w="2726"/>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Rendimiento esperado de la cartera sugerida</w:t>
            </w:r>
          </w:p>
        </w:tc>
        <w:tc>
          <w:tcPr>
            <w:tcW w:type="dxa" w:w="2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Cartera modelo → cartera sugerida (renta variable · renta fija · efectivo)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Menor que 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20% · 50% · 30% (dentro de los topes)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2 a menos de 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5,9%</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40% · 42,5% · 17,5% → 35% · 47,5% · 17,5%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4 a menos de 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6,7%</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60% · 35% · 5% → 50% · 45%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6 a menos de 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7,3%</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77,5% · 17,5% · 5% → 70% · 25%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 o más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7,9%</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 · 0% · 5% → 90% · 5% · 5%</w:t>
            </w:r>
          </w:p>
        </w:tc>
      </w:tr>
    </w:tbl>
    <w:p>
      <w:pPr>
        <w:spacing w:after="120" w:line="300"/>
      </w:pPr>
      <w:r>
        <w:t>Si el puntaje del perfil de riesgo queda a menos de 0,4 puntos de un corte, el dashboard la marca como zona de frontera para confirmarla con el cliente. El perfil no cambia.</w:t>
      </w:r>
    </w:p>
    <w:p>
      <w:pPr>
        <w:pStyle w:val="Heading2"/>
      </w:pPr>
      <w:r>
        <w:t xml:space="preserve">Topes por perfil y cartera sugerida</w:t>
      </w:r>
    </w:p>
    <w:p>
      <w:pPr>
        <w:spacing w:after="120" w:line="300"/>
      </w:pPr>
      <w:r>
        <w:t xml:space="preserve">Cada perfil tiene una política de inversión con un mínimo y un máximo por clase de activo (renta variable, renta fija, efectivo y alternativos), como las bandas de asignación estratégica que usan la banca privada y los gestores de patrimonio (Maginn et al., 2007; CFA Institute, 2018). Los topes, el porcentaje específico de cada perfil y el rendimiento esperado de cada clase se fijan en los valores de la firma del dashboard. Esos topes son el punto de partida: como cada cliente tiene sus particularidades, el asesor puede cambiar, en los supuestos de un cliente, los topes y el porcentaje específico de su perfil. Ese cambio solo afecta a ese cliente, queda guardado con sus supuestos y la ficha y el Excel indican que los topes son propios del cliente. Al abrir los supuestos de un cliente, el dashboard muestra primero la conclusión de su perfil de riesgo (perfil, puntaje, tolerancia y apetito), sus topes, la cartera sugerida y su rendimiento esperado.</w:t>
      </w:r>
    </w:p>
    <w:p>
      <w:pPr>
        <w:spacing w:after="120" w:line="300"/>
      </w:pPr>
      <w:r>
        <w:t xml:space="preserve">Bandas base. Renta variable: conservador 0–20%, moderado conservador 20–35%, moderado 35–50%, moderado agresivo 50–70% y agresivo 70–90%. Renta fija: 50–90%, 40–75%, 30–60%, 15–45% y 0–30%. Efectivo: 5–40%, 5–30%, 5–20%, 0–15% y 0–10%. Alternativos: 0–5%, 0–10%, 0–10%, 0–15% y 0–20%. Son más prudentes que las categorías de asignación de Morningstar para fondos de EE. UU. (15–30%, 30–50%, 50–70%, 70–85% y más de 85% en renta variable).</w:t>
      </w:r>
    </w:p>
    <w:p>
      <w:pPr>
        <w:spacing w:after="120" w:line="300"/>
      </w:pPr>
      <w:r>
        <w:t xml:space="preserve">Regla de ajuste. La cartera sugerida parte de la cartera modelo del perfil o, si el asesor lo fija, de su porcentaje específico (debe sumar 100%). Cada clase se lleva dentro de su tope: lo que excede el máximo pasa primero a renta fija, luego a efectivo y a alternativos; lo que falta para el mínimo sale de renta variable, alternativos y renta fija. El dashboard, la ficha PDF, la presentación y el Excel indican si la cartera se ajustó y cuáles son los topes del perfil.</w:t>
      </w:r>
    </w:p>
    <w:p>
      <w:pPr>
        <w:spacing w:after="120" w:line="300"/>
      </w:pPr>
      <w:r>
        <w:t xml:space="preserve">Rendimiento esperado de la cartera = suma de (peso de cada clase × rendimiento esperado de la clase). Valores base: renta variable 8,31%, renta fija 5,46%, efectivo 2,03% y alternativos 6,5%; los tres primeros reproducen exactamente el rendimiento de las carteras modelo (5%, 6%, 7%, 7,5% y 8%). En el riesgo histórico, los alternativos se aproximan con mitad renta variable y mitad renta fija.</w:t>
      </w:r>
    </w:p>
    <w:p>
      <w:pPr>
        <w:spacing w:after="120" w:line="300"/>
      </w:pPr>
      <w:r>
        <w:t xml:space="preserve">Ejemplo. La cartera modelo moderada (60% · 35% · 5%) supera el máximo de 50% en renta variable: la cartera sugerida queda en 50% · 45% · 5% y rinde 6,7% (0,50 × 8,31% + 0,45 × 5,46% + 0,05 × 2,03%).</w:t>
      </w:r>
    </w:p>
    <w:p>
      <w:pPr>
        <w:pStyle w:val="Heading2"/>
      </w:pPr>
      <w:r>
        <w:t xml:space="preserve">Porcentaje del portafolio en colones para cubrir gastos</w:t>
      </w:r>
    </w:p>
    <w:p>
      <w:pPr>
        <w:spacing w:after="120" w:line="300"/>
      </w:pPr>
      <w:r>
        <w:t xml:space="preserve">Responde cuánto del portafolio debe estar en bonos en colones (Costa Rica) para cubrir los gastos en colones del cliente, y cuánto de la renta fija de su cartera va a bonos en dólares (EE. UU.). Paso 1, gasto anual por moneda: los gastos recurrentes del cuestionario, en valor de hoy, según la moneda en que se declararon (el gasto familiar, según el porcentaje que el cliente paga en dólares).</w:t>
      </w:r>
    </w:p>
    <w:p>
      <w:pPr>
        <w:spacing w:after="120" w:line="300"/>
      </w:pPr>
      <w:r>
        <w:t xml:space="preserve">Paso 2, capital requerido en Costa Rica = gasto anual en colones ÷ rendimiento de los bonos en colones: el capital cuyos intereses pagan ese gasto sin consumir el principal. El rendimiento no es un rango fijo: es un solo valor que el asesor digita según el mercado del día (por ejemplo 6,0% hoy; dentro de un mes o un año puede ser 6,5%, 3% o 12%). La firma define el valor por defecto en sus valores de la firma y el asesor lo cambia en los supuestos de cada cliente; el capital requerido, el reparto de la renta fija y las conclusiones se recalculan con ese valor. Ejemplo: ₡54 000 000 al año ÷ 6,0% = ₡900 000 000 (US$2 000 000 al tipo de cambio de 450).</w:t>
      </w:r>
    </w:p>
    <w:p>
      <w:pPr>
        <w:spacing w:after="120" w:line="300"/>
      </w:pPr>
      <w:r>
        <w:t xml:space="preserve">Paso 3, reparto de la renta fija de la cartera sugerida (según el perfil y sus topes): primero bonos en Costa Rica, hasta el capital requerido; el resto, bonos en EE. UU. Si el capital requerido supera la renta fija de la cartera, el dashboard indica si cabe dentro del tope de renta fija del perfil. Como referencia, muestra también el capital requerido si los ingresos en colones del cliente (pensión, alquileres) pagan parte de esos gastos. Está en el dashboard (página 2), la ficha, la presentación y la hoja Cliente del Excel; el dashboard, la ficha y la presentación lo muestran en tres pasos: (1) gasto del cliente al mes y al año, en colones y en dólares, y el peso de cada moneda en el gasto total; (2) capital en colones = gasto anual en colones ÷ rendimiento de los bonos en colones, y su porcentaje del portafolio; (3) la renta fija de la cartera sugerida es el 100% y se reparte entre Costa Rica (hasta el capital requerido) y EE. UU. (el resto), en porcentajes que suman 100%; los montos quedan en el detalle. El detalle de las tablas queda debajo. Margen del plan, metodología de cálculo: cada límite se obtiene por bisección (40 pruebas por variable); en cada prueba se recalcula la proyección completa y se verifica el objetivo.</w:t>
      </w:r>
    </w:p>
    <w:p>
      <w:pPr>
        <w:spacing w:after="120" w:line="300"/>
      </w:pPr>
      <w:r>
        <w:t xml:space="preserve">Ingresos y gastos de los próximos 12 meses: sustituye a «Ingresos y gastos después del retiro». Mes a mes, desde el mes del cuestionario, sin promedios: los recurrentes del primer año entre los meses que cuenta ese año y los del año siguiente entre 12. Los montos puntuales (de una vez, metas y retiros del portafolio) solo tienen año: van en una fila por año y entran al total.</w:t>
      </w:r>
    </w:p>
    <w:p>
      <w:pPr>
        <w:spacing w:after="120" w:line="300"/>
      </w:pPr>
      <w:r>
        <w:t xml:space="preserve">Margen del plan: el dashboard, la ficha, la presentación y el Excel muestran la metodología de cálculo de cada cifra. Cada límite se obtiene cambiando una sola variable y recalculando la proyección con una búsqueda binaria. Gasto familiar: límite = gasto actual × el mayor factor con el que se cumple el objetivo. Herencia: en términos reales; saldo final en dólares de hoy = saldo final nominal ÷ (1 + inflación internacional)^años. El portafolio final se muestra en términos reales y nominales. ¿Alcanza el plan? (antes de las conclusiones): la respuesta va primero; un diagrama de flujo (Sankey) muestra de dónde sale el dinero del plan en todo el horizonte (portafolio inicial, ingresos, ventas, aportes y rendimientos) y a dónde va (gastos recurrentes, gastos extraordinarios y metas, y saldo final); luego, sus razones (los rendimientos frente al faltante de flujo, el margen de rendimiento, el saldo del portafolio y la herencia). Conclusiones para la toma de decisiones (sustituyen a «Permanencia del cliente»): dependencia del portafolio (ingresos propios sobre gastos), tasa de retiro frente a la referencia del 4% (Bengen, 1994), rendimiento real, liquidez de cinco años frente a la renta fija y el efectivo, exposición al colón y liquidez del patrimonio. La sección «Patrimonio total» se retiró: la sustituye el detalle de activos y pasivos. La tasa de retiro inicial se mide en el primer año completo de retiro.</w:t>
      </w:r>
    </w:p>
    <w:p>
      <w:pPr>
        <w:pStyle w:val="Heading2"/>
      </w:pPr>
      <w:r>
        <w:t xml:space="preserve">1.5 Capacidad financiera (referencia: desde la versión 5.20 no asigna la cartera)</w:t>
      </w:r>
    </w:p>
    <w:p>
      <w:pPr>
        <w:spacing w:after="120" w:line="300"/>
      </w:pPr>
      <w:r>
        <w:t>Mide cuánto riesgo puede soportar el cliente, con independencia de cuánto quiere asumir. Se calcula con el flujo de los primeros cinco años de la proyección y con datos del cuestionario de planificación, en siete componentes que siguen la estructura de la hoja «Proyección»: ingresos, gastos, inversiones, desinversiones, tamaño del portafolio, reserva de liquidez y horizonte. Cubren lo que las directrices de idoneidad de MiFID II piden evaluar: ingresos, activos, compromisos financieros regulares y capacidad de soportar pérdidas (ESMA, 2022, párrafos 37 y 80). También siguen la guía del CFA Institute (2018), que mide la capacidad con los recursos del cliente frente a sus necesidades de gasto: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4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3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Dato de la planificación</w:t>
            </w:r>
          </w:p>
        </w:tc>
        <w:tc>
          <w:tcPr>
            <w:tcW w:type="dxa" w:w="3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Fundamento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 gastos totales de los primeros cinco años, promediado con la predictibilidad del ingreso (pregunta 2)</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regulares frente a los compromisos (ESMA, 2022); recursos propios para cubrir el gasto sin depender del portafolio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comprometidos (cuotas de hipoteca y deudas y gastos de dependientes) / ingresos totales, cinco años</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Compromisos financieros regulares (ESMA, 2022); razón de servicio de deuda con límite habitual de 36% (Greninger y otros, 1996)</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que entra al portafolio en cinco años (superávit invertido y ventas de activos)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Aportes futuros que permiten recuperar una pérdida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del portafolio de cinco años (déficit, metas y retiros adicionales)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Restricción de liquidez (CFA Institute). Retirar 4% al año (Bengen, 1994) equivale a 20% en cinco años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 actual / portafolio mínimo requerido con la cartera conservadora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frente a las necesidades: capacidad de soportar pérdidas sin comprometer el nivel de vida (ESMA, 2022;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Meses de gasto que cubre la reserva de liquidez declarada (pregunta 11). No entra al flujo de caja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Liquidez para imprevistos sin vender el portafolio en un mal momento: reserva de 3 a 6 meses de gasto (Greninger y otros, 1996;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Años hasta que el portafolio empieza a financiar gastos, metas o retiros (primer año con desinversión)</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de inversión (ESMA, 2022; CFA Institute, 2018)</w:t>
            </w:r>
          </w:p>
        </w:tc>
      </w:tr>
    </w:tbl>
    <w:p>
      <w:pPr>
        <w:spacing w:after="120" w:line="300"/>
      </w:pPr>
      <w:r>
        <w:t>Cada componente se puntúa en cuatro tramos (0; 3,33; 6,67 y 10), igual que las respuestas del cuestionario: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750"/>
        <w:gridCol w:w="1750"/>
        <w:gridCol w:w="1750"/>
        <w:gridCol w:w="1750"/>
      </w:tblGrid>
      <w:tr>
        <w:trPr>
          <w:tblHeader/>
        </w:trPr>
        <w:tc>
          <w:tcPr>
            <w:tcW w:type="dxa" w:w="2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0</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3,33</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6,67</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(cobertura)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50%</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a 79,9%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a 99,9%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 (comprometidos)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36%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a 35,9%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entradas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Hasta 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a 49,9%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1,00 vez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a 1,24</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1,25 a 1,49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reserva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3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 a 6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Más de 6 meses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 a 9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14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 años o más</w:t>
            </w:r>
          </w:p>
        </w:tc>
      </w:tr>
    </w:tbl>
    <w:p>
      <w:pPr>
        <w:shd w:fill="F4F5EE" w:color="auto" w:val="clear"/>
        <w:spacing w:after="120" w:before="60"/>
        <w:ind w:left="360"/>
      </w:pPr>
      <w:r>
        <w:rPr>
          <w:rFonts w:ascii="Consolas" w:cs="Consolas" w:eastAsia="Consolas" w:hAnsi="Consolas"/>
          <w:color w:val="2B3014"/>
          <w:sz w:val="19"/>
          <w:szCs w:val="19"/>
        </w:rPr>
        <w:t>Capacidad financiera = promedio simple de los componentes con dato (se necesitan al menos dos tercios de los componentes: 5 de 7)</w:t>
      </w:r>
    </w:p>
    <w:p>
      <w:pPr>
        <w:spacing w:after="120" w:line="300"/>
      </w:pPr>
      <w:r>
        <w:t>Se usan pesos iguales porque no hay datos propios para estimar otros; los pesos iguales son más robustos que pesos fijados a criterio (Dawes, 1979). Los tramos son supuestos del analista y se recalibran cuando haya historial de clientes.</w:t>
      </w:r>
    </w:p>
    <w:p>
      <w:pPr>
        <w:spacing w:after="120" w:line="300"/>
      </w:pPr>
      <w:r>
        <w:rPr>
          <w:b/>
          <w:bCs/>
        </w:rPr>
        <w:t xml:space="preserve">Datos faltantes. Cada componente se calcula solo si el cliente dio los datos que lo alimentan. Si no, queda «sin dato», se rotula así en el radar y en la ficha y no entra al promedio: no se supone ningún valor. Si menos de cinco de los siete componentes tienen dato, la capacidad no se mide, no se mide, como piden las directrices de ESMA (2022, párrafo 53) para la información incompleta. Si la pensión está por estimar, el componente de ingresos se marca como parcial. Los flujos se proyectan sin rendimiento y el tamaño del portafolio se mide con la cartera conservadora, así que la capacidad no depende del perfil que se asigne. El peso del portafolio en el patrimonio (pregunta 13) se muestra como dato de control y no entra al cálculo.</w:t>
      </w:r>
    </w:p>
    <w:p>
      <w:pPr>
        <w:spacing w:after="120" w:line="300"/>
      </w:pPr>
      <w:r>
        <w:t>Instituciones: horizonte de inversión declarado, estabilidad de los ingresos, peso del portafolio en sus activos y liquidez requerida (retiros netos de los primeros cinco años sobre el capital inicial). En familias, los cuestionarios anteriores a octubre de 2026 no pedían deudas ni gastos de dependientes, por lo que en ellos el componente de gastos queda sin dato.</w:t>
      </w:r>
    </w:p>
    <w:p>
      <w:pPr>
        <w:pStyle w:val="Heading2"/>
      </w:pPr>
      <w:r>
        <w:t>1.6 Conocimiento</w:t>
      </w:r>
    </w:p>
    <w:p>
      <w:pPr>
        <w:spacing w:after="120" w:line="300"/>
      </w:pPr>
      <w:r>
        <w:t xml:space="preserve">En familias, el conocimiento se mide con la pregunta 10 (alternativa única de inversión), que ya forma parte del perfil de riesgo; no se aplica otra vez. En instituciones se pregunta aparte y funcionaba como techo del perfil financiero hasta la versión 5.19: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tblHeader/>
        </w:trPr>
        <w:tc>
          <w:tcPr>
            <w:tcW w:type="dxa" w:w="5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Conocimiento declarado</w:t>
            </w:r>
          </w:p>
        </w:tc>
        <w:tc>
          <w:tcPr>
            <w:tcW w:type="dxa" w:w="4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 máximo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Ninguno (0)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Limitado (3,33)</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Bueno o extenso (6,67 o 10)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límite</w:t>
            </w:r>
          </w:p>
        </w:tc>
      </w:tr>
    </w:tbl>
    <w:p>
      <w:pPr>
        <w:pStyle w:val="Heading2"/>
      </w:pPr>
      <w:r>
        <w:t xml:space="preserve">1.7 Activos y pasivos</w:t>
      </w:r>
    </w:p>
    <w:p>
      <w:pPr>
        <w:shd w:fill="F4F5EE" w:color="auto" w:val="clear"/>
        <w:spacing w:after="120" w:before="60"/>
        <w:ind w:left="360"/>
      </w:pPr>
      <w:r>
        <w:rPr>
          <w:rFonts w:ascii="Consolas" w:cs="Consolas" w:eastAsia="Consolas" w:hAnsi="Consolas"/>
          <w:color w:val="2B3014"/>
          <w:sz w:val="19"/>
          <w:szCs w:val="19"/>
        </w:rPr>
        <w:t xml:space="preserve">Activos, en orden de liquidez: portafolio de inversión (inmediata); pensión voluntaria y FCL (media); ROP, inmuebles y empresas (baja); capital privado (muy baja, por el monto total invertido); vivienda principal (muy baja, de uso propio, por su valor estimado). Las empresas se toman según la participación del cliente.</w:t>
      </w:r>
    </w:p>
    <w:p>
      <w:pPr>
        <w:shd w:fill="F4F5EE" w:color="auto" w:val="clear"/>
        <w:spacing w:after="120" w:before="60"/>
        <w:ind w:left="360"/>
      </w:pPr>
      <w:r>
        <w:rPr>
          <w:rFonts w:ascii="Consolas" w:cs="Consolas" w:eastAsia="Consolas" w:hAnsi="Consolas"/>
          <w:color w:val="2B3014"/>
          <w:sz w:val="19"/>
          <w:szCs w:val="19"/>
        </w:rPr>
        <w:t xml:space="preserve">Pasivos, en orden de exigibilidad: según el año en que terminan. Son de corto plazo si terminan a más tardar el año siguiente al inicio de la proyección; las deudas sin plazo indicado van al final, como largo plazo.</w:t>
      </w:r>
    </w:p>
    <w:p>
      <w:pPr>
        <w:spacing w:after="120" w:line="300"/>
      </w:pPr>
      <w:r>
        <w:t xml:space="preserve">Patrimonio neto = total de activos − total de pasivos. Activos líquidos = el portafolio de inversión sobre el total de activos. Todo en dólares, con el tipo de cambio del cliente, e incluye la vivienda principal con el valor estimado que declara el cliente (pregunta 14; si la vivienda es alquilada, se pide el alquiler mensual, que es informativo porque ya está en el gasto familiar). En instituciones no se muestra.</w:t>
      </w:r>
    </w:p>
    <w:p>
      <w:pPr>
        <w:spacing w:after="120" w:line="300"/>
      </w:pPr>
      <w:r>
        <w:rPr>
          <w:b/>
          <w:bCs/>
        </w:rPr>
        <w:t xml:space="preserve">Ejemplo. Cliente de ejemplo: activos por US$1 530 000 y pasivos por US$135 000, de los que US$3 000 son de corto plazo; patrimonio neto de US$1 395 000. El portafolio de inversión es el 16,3% de los activos.</w:t>
      </w:r>
    </w:p>
    <w:p>
      <w:pPr>
        <w:pStyle w:val="Heading2"/>
      </w:pPr>
      <w:r>
        <w:t>1.8 Presentación de los resultados</w:t>
      </w:r>
    </w:p>
    <w:p>
      <w:pPr>
        <w:spacing w:after="120" w:line="300"/>
      </w:pPr>
      <w:r>
        <w:t xml:space="preserve">El dashboard, la ficha PDF, la presentación de PowerPoint y el Excel muestran el perfil de riesgo y el detalle de activos y pasivos. El encabezado del dashboard tiene seis cuadros con la misma estructura (título, cifra y una línea de contexto): perfil de riesgo, rendimiento esperado (el de la cartera del perfil de riesgo), rendimiento mínimo necesario (el rendimiento de equilibrio, en rojo si supera al esperado), portafolio mínimo requerido, tasa de retiro inicial y portafolio final en dólares de hoy.</w:t>
      </w:r>
    </w:p>
    <w:p>
      <w:pPr>
        <w:pStyle w:val="ListParagraph"/>
        <w:numPr>
          <w:ilvl w:val="0"/>
          <w:numId w:val="2"/>
        </w:numPr>
        <w:spacing w:after="60" w:line="290"/>
      </w:pPr>
      <w:r>
        <w:rPr>
          <w:b/>
          <w:bCs/>
        </w:rPr>
        <w:t xml:space="preserve">Perfil de riesgo: </w:t>
      </w:r>
      <w:r>
        <w:t>plano de tolerancia y apetito, barras de ambos, puntaje del perfil de riesgo y perfil de riesgo.</w:t>
      </w:r>
    </w:p>
    <w:p>
      <w:pPr>
        <w:pStyle w:val="ListParagraph"/>
        <w:numPr>
          <w:ilvl w:val="0"/>
          <w:numId w:val="2"/>
        </w:numPr>
        <w:spacing w:after="60" w:line="290"/>
      </w:pPr>
      <w:r>
        <w:rPr>
          <w:b/>
          <w:bCs/>
        </w:rPr>
        <w:t xml:space="preserve">Detalle de activos y pasivos: total de activos, total de pasivos con los de corto plazo, patrimonio neto y activos líquidos; tabla de activos (liquidez, moneda, valor en dólares y peso en el total) y tabla de pasivos (exigibilidad, moneda y saldo).</w:t>
      </w:r>
    </w:p>
    <w:p>
      <w:pPr>
        <w:pStyle w:val="ListParagraph"/>
        <w:numPr>
          <w:ilvl w:val="0"/>
          <w:numId w:val="2"/>
        </w:numPr>
        <w:spacing w:after="60" w:line="290"/>
      </w:pPr>
      <w:r>
        <w:rPr>
          <w:b/>
          <w:bCs/>
        </w:rPr>
        <w:t xml:space="preserve">Presentación de PowerPoint (botón «Descargar PPT» del dashboard). Abre con una portada (nombre del cliente, fecha y carácter confidencial) y una introducción (propósito del documento, contenido y alcance de las cifras); la ficha PDF incluye la misma introducción en su primera página. Sigue este orden: (1) objetivos del cliente: independencia financiera, gasto familiar, destino del patrimonio, horizonte y las metas y compromisos que el plan debe cubrir; (2) perfil del cliente: plano de tolerancia y apetito con el puntaje del perfil de riesgo y resumen de activos y pasivos; (3) perfil del cliente: cifras clave (perfil de riesgo, rendimiento esperado, rendimiento mínimo necesario, portafolio mínimo requerido y tasa de retiro inicial) y tablas de activos y pasivos; (4) ingresos y gastos después del retiro, año por año, con sus promedios y la cobertura de los gastos; (5) ingresos y gastos por moneda: cada monto en la moneda en que el cliente lo declaró, en cuatro columnas (colones, colones en dólares al tipo de cambio del cliente, dólares y total dolarizado: colones en dólares más dólares), separado en ingresos y gastos recurrentes al año y en montos puntuales del horizonte (ingresos extraordinarios, ventas de activos, gastos de una vez y metas), con la exposición al tipo de cambio; (6) proyección del portafolio en términos nominales y reales; (7) escenarios. Siguen el rendimiento de equilibrio, las carteras, los caminos o el margen del plan y los supuestos. En instituciones no se incluyen las diapositivas 4, 5 y 7. La ficha PDF tiene el mismo contenido y el mismo orden que la presentación. El dashboard sigue el mismo orden: los objetivos del cliente abren la página 1, antes del perfil; en la página 2, después de las carteras, van los ingresos y gastos después del retiro, los ingresos y gastos por moneda, la proyección y los escenarios. Las metas y compromisos se agrupan en metas, gastos extraordinarios, apoyo a dependientes y entradas al portafolio.</w:t>
      </w:r>
    </w:p>
    <w:p>
      <w:pPr>
        <w:pStyle w:val="Heading2"/>
      </w:pPr>
      <w:r>
        <w:t>1.9 Fundamento</w:t>
      </w:r>
    </w:p>
    <w:p>
      <w:pPr>
        <w:spacing w:after="120" w:line="300"/>
      </w:pPr>
      <w:r>
        <w:t xml:space="preserve">La tolerancia y el apetito miden la actitud ante el riesgo (Grable y Lytton, 1999). La cartera se asigna con el perfil de riesgo: a un cliente no se le asigna más riesgo del que declara tolerar, aunque su patrimonio lo permita (Cordell, 2001; ESMA, 2018). El detalle de activos y pasivos da el contexto patrimonial para la recomendación. Las preguntas no tienen opciones neutrales donde no aportan información, para evitar que respuestas indecisas lleven el promedio hacia el centro de la escala.</w:t>
      </w:r>
    </w:p>
    <w:p>
      <w:pPr>
        <w:spacing w:after="120" w:line="300"/>
      </w:pPr>
      <w:r>
        <w:rPr>
          <w:b/>
          <w:bCs/>
        </w:rPr>
        <w:t>Referencias. Bengen, W. (1994), Determining withdrawal rates using historical data, Journal of Financial Planning. Cordell, D. (2001), RiskPACK: How to evaluate risk tolerance, Journal of Financial Planning. Dawes, R. (1979), The robust beauty of improper linear models, American Psychologist. ESMA (2018), Guidelines on certain aspects of the MiFID II suitability requirements, ESMA35-43-869. Grable, J. y Lytton, R. (1999), Financial risk tolerance revisited, Financial Services Review. Ibbotson, R., Milevsky, M., Chen, P. y Zhu, K. (2007), Lifetime Financial Advice: Human Capital, Asset Allocation, and Insurance, CFA Institute Research Foundation. Maginn, J., Tuttle, D., Pinto, J. y McLeavey, D. (2007), Managing Investment Portfolios, CFA Institute. CFA Institute (2018), Investment risk profiling: a guide for financial advisors. ESMA (2022), Guidelines on certain aspects of the MiFID II suitability requirements, ESMA35-43-3172. Greninger, S., Hampton, V., Kitt, K. y Achacoso, J. (1996), Ratios and benchmarks for measuring the financial well-being of families and individuals, Financial Services Review 5(1).</w:t>
      </w:r>
      <w:r/>
    </w:p>
    <w:p>
      <w:pPr>
        <w:pStyle w:val="Heading1"/>
      </w:pPr>
      <w:r>
        <w:t>Parte 2. Metodología de la proyección</w:t>
      </w:r>
    </w:p>
    <w:p>
      <w:pPr>
        <w:spacing w:after="120" w:line="300"/>
      </w:pPr>
      <w:r>
        <w:t>La proyección es un flujo de caja anual en dólares: ingresos ordinarios, ingresos extraordinarios, gastos ordinarios y gastos extraordinarios. El resultado de cada año (flujo neto) se invierte en el portafolio si es positivo y se desinvierte si es negativo.</w:t>
      </w:r>
    </w:p>
    <w:p>
      <w:pPr>
        <w:pStyle w:val="Heading2"/>
      </w:pPr>
      <w:r>
        <w:t>2.1 Manual de preguntas: qué alimenta cada una</w:t>
      </w:r>
    </w:p>
    <w:p>
      <w:pPr>
        <w:spacing w:after="120" w:line="300"/>
      </w:pPr>
      <w:r>
        <w:t>El cuestionario de planificación sigue el orden de la hoja «Proyección»: ingresos ordinarios, ingresos extraordinarios, gastos ordinarios, gastos extraordinarios, inversiones y desinversiones; después, los retiros del portafolio. Las preguntas que intervienen en un cálculo son obligatorias y llevan asterisco; las descriptivas son opcionales. Las columnas son 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50"/>
        <w:gridCol w:w="2300"/>
        <w:gridCol w:w="3276"/>
      </w:tblGrid>
      <w:tr>
        <w:trPr>
          <w:tblHeader/>
        </w:trPr>
        <w:tc>
          <w:tcPr>
            <w:tcW w:type="dxa" w:w="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N.º</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Pregunta</w:t>
            </w:r>
          </w:p>
        </w:tc>
        <w:tc>
          <w:tcPr>
            <w:tcW w:type="dxa" w:w="6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Oblig.</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 y columna del Excel</w:t>
            </w:r>
          </w:p>
        </w:tc>
        <w:tc>
          <w:tcPr>
            <w:tcW w:type="dxa" w:w="327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Cómo entra al cálculo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independencia financiera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 F19, E (fase)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Separa acumulación y retiro: fin del ingreso por actividad y aplicación del gasto del retiro. No cambia el inicio de la pensión. Capacidad: horizonte.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total mensual, hasta qué edad, de dónde proviene (varias fuentes) y qué tan predecible 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F</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mensual × 12 × índice mientras dure. No incluye el ingreso de la pareja, la pensión ni otros ingresos recurrentes. Fuentes: salario, empresa propia y honorarios. Un pensionado sin otro ingreso escribe 0 y no marca fuente.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Planificación individual o conjunta; si es conjunta, edad e ingreso de la pareja y hasta qué edad lo recibirá</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G; horizonte · M8, O8</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(si no la indica, hasta la independencia del cliente); se suma a los ingresos ordinarios. En la planificación conjunta el horizonte llega hasta la edad final del menor de los dos.</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y otros ingresos recurrentes adicionales a los del portafolio, con año de inicio y de fin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J y H; F20 y F21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desde el año en que cumple su edad de inicio (F20), sin importar la independencia; ese año, los meses después del cumpleaños (F21). Otros ingresos desde hoy o desde el año indicado, hasta el año de fin que indique el cliente.</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 FCL y pensión voluntaria, con su operadora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K y L; ingresos extraordinarios · 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El ROP (K) y la pensión voluntaria (L) se reciben como pensión desde la edad de pensión. El FCL se traslada al portafolio en su año (O). La operadora es descriptiva.</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numerados y con nombre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 N</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indicado. En el Excel cada uno conserva su número y su nombre (tabla «Ingresos extraordinarios», debajo de la proyección).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familiar mensual y porcentaje en el retiro</w:t>
            </w:r>
            <w:r>
              <w:rPr>
                <w:sz w:val="19"/>
              </w:rPr>
              <w:t xml:space="preserve"> y porcentaje pagado en dólares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R</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 12 × (parte en dólares × índice en dólares + parte en colones × índice en colones); desde la independencia, × el porcentaje declarado (F18). El cliente indica qué porcentaje paga en dólares y el cuestionario muestra el resto en colones: la parte en dólares crece con la inflación internacional y la de colones con la local, así que la inflación local se usa siempre que haya gasto en colones. No incluye la cuota de la hipoteca, donaciones ni los gastos de la pregunta 9; las cuotas de deudas, según la pregunta 11.</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Personas que dependen del cliente (hijos y otros familiares)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Dato informativo: el costo de esas personas está en el gasto familiar (pregunta 7) o en la pregunta 9.</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de dependientes no incluidos en el gasto familiar</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S</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 durante los años indicados. Parentesco: hijo o hija, padre o madre, otro familiar u otro.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Donaciones al año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T</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(V10) × índice, todos los años.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Deudas o pasivos, una por una, y reserva de liquidez</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Cuota mensual × 12 de cada deuda hasta el año en que termina, sin indexar (hoja «Gastos»). El cliente indica si esas cuotas ya están en su gasto familiar: si es así, no se suman de nuevo. Sin límite de cantidad. Pasivo en el detalle de activos y pasivos, según el año en que termina.</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numerados, con nombre, año y frecuencia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 W</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o cada año desde ese año (tabla «Gastos extraordinarios»).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del portafolio y porcentaje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 AE7 (capital inicial); portafolio · AG (año 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Primer activo del detalle de activos y pasivos (liquidez inmediata). El dashboard calcula además el peso del portafolio con los activos declarados, como dato de control;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Vivienda e inmuebles de inversión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I; gastos ordinarios · U; desinversiones · AB</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hasta el año anterior a la venta; cuota de la hipoteca mientras dure el plazo; (valor − deuda) × porcentaje que invierte, en el año de la venta. «Sujeto a análisis» no se proyecta. Sin límite de cantidad de inmuebles.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Empresas propias: cantidad y, por cada una, nombre, participación, valor estimado, plan de venta o traspaso y destino de la venta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AC</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 porcentaje que invierte, en el año de la venta de cada empresa. Todas las empresas entran al patrimonio total.</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privado: monto total invertido y detalle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Patrimonio total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total invertido (sin porcentaje de participación).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Venta de otros activos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AD</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de la venta. No incluye el capital privado de la pregunta 16.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Metas y cómo se financian (si es «Otra», el nombre de la meta; si es con crédito, la tasa y el plazo)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(gastos extraordinarios) · X; cuotas de crédito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Las metas pagadas con una salida del portafolio son gastos extraordinarios de su año. Las financiadas con crédito no salen del portafolio: su cuota anual, PAGO(tasa; plazo; −monto de la meta en su año), es un gasto ordinario desde el año de la meta y durante el plazo.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adicionales del portafolio, distintos de las metas de la pregunta 18: motivo, año y monto de cada uno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 (horizonte)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entra al flujo: el dinero que sale del portafolio ya está en los gastos y las metas.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Destino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Resultado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 herencia, en dólares de hoy, es el saldo mínimo del rendimiento de equilibrio y de «¿alcanza el plan?».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Seguros vigentes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Proporción en dólares y colones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¿Posee estructuras jurídicas? Si responde sí, cuáles y si su portafolio está dentro de alguna de ellas (y en cuáles)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Diagnóstico operativo y fiscal; identifica dónde se encuentra el portafolio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Comentarios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bl>
    <w:p>
      <w:pPr>
        <w:spacing w:after="120" w:line="300"/>
      </w:pPr>
      <w:r>
        <w:rPr>
          <w:b/>
          <w:bCs/>
        </w:rPr>
        <w:t xml:space="preserve">Cómo se unen las preguntas de un mismo bloque. </w:t>
      </w:r>
      <w:r>
        <w:t>Cada pregunta alimenta una sola columna, y ninguna cifra se pide dos veces:</w:t>
      </w:r>
    </w:p>
    <w:p>
      <w:pPr>
        <w:pStyle w:val="ListParagraph"/>
        <w:numPr>
          <w:ilvl w:val="0"/>
          <w:numId w:val="2"/>
        </w:numPr>
        <w:spacing w:after="60" w:line="290"/>
      </w:pPr>
      <w:r>
        <w:rPr>
          <w:b/>
          <w:bCs/>
        </w:rPr>
        <w:t>Ingresos totales (P) = ingresos ordinarios (L = F + G + H + I + J + K) + ingresos extraordinarios (O = M + N). G es el ingreso de la pareja, cuando la planificación es conjunta; el ingreso total del cliente (F) no lo incluye.</w:t>
      </w:r>
      <w:r/>
    </w:p>
    <w:p>
      <w:pPr>
        <w:pStyle w:val="ListParagraph"/>
        <w:numPr>
          <w:ilvl w:val="0"/>
          <w:numId w:val="2"/>
        </w:numPr>
        <w:spacing w:after="60" w:line="290"/>
      </w:pPr>
      <w:r>
        <w:rPr>
          <w:b/>
          <w:bCs/>
        </w:rPr>
        <w:t>Gastos totales (W) = gastos ordinarios (U = Q + R + S + T) + gastos extraordinarios (V). El gasto familiar excluye las cuotas, las donaciones y los gastos de dependientes de la pregunta 9, que se suman aparte.</w:t>
      </w:r>
      <w:r/>
    </w:p>
    <w:p>
      <w:pPr>
        <w:pStyle w:val="ListParagraph"/>
        <w:numPr>
          <w:ilvl w:val="0"/>
          <w:numId w:val="2"/>
        </w:numPr>
        <w:spacing w:after="60" w:line="290"/>
      </w:pPr>
      <w:r>
        <w:rPr>
          <w:b/>
          <w:bCs/>
        </w:rPr>
        <w:t>Flujo neto (AA) = Q − Z: ingresos menos gastos. Las metas pagadas con el portafolio van en la columna Inversiones (X) y suman en el total de salidas (Y), en el año de cada meta. Las metas financiadas con crédito (pregunta 18) no salen del portafolio: su cuota anual, con la tasa y el plazo que indicó el cliente sobre el monto de la meta en su año, se suma a las cuotas (U) desde el año de la meta y durante el plazo.</w:t>
      </w:r>
      <w:r/>
    </w:p>
    <w:p>
      <w:pPr>
        <w:pStyle w:val="ListParagraph"/>
        <w:numPr>
          <w:ilvl w:val="0"/>
          <w:numId w:val="2"/>
        </w:numPr>
        <w:spacing w:after="60" w:line="290"/>
      </w:pPr>
      <w:r>
        <w:rPr>
          <w:b/>
          <w:bCs/>
        </w:rPr>
        <w:t>Flujo neto de inversiones (AF) = desinversiones (AE = AB + AC + AD): el dinero de la venta de activos que entra al portafolio. En el bloque Portafolio, el flujo neto (AI) = AA + AF: entra al portafolio si es positivo y sale de él si es negativo. Portafolio final (AJ) = inicial + rendimiento + flujo neto + gasto no cubierto (AN, última columna): el portafolio no baja de cero y el gasto no cubierto es lo que ya no alcanza a pagar.</w:t>
      </w:r>
      <w:r/>
    </w:p>
    <w:p>
      <w:pPr>
        <w:pStyle w:val="ListParagraph"/>
        <w:numPr>
          <w:ilvl w:val="0"/>
          <w:numId w:val="2"/>
        </w:numPr>
        <w:spacing w:after="60" w:line="290"/>
      </w:pPr>
      <w:r>
        <w:rPr>
          <w:b/>
          <w:bCs/>
        </w:rPr>
        <w:t xml:space="preserve">Los retiros adicionales del portafolio (pregunta 19) salen del portafolio en su año, con la inflación de su moneda, en la columna de gastos extraordinarios (hoja «Retiros del portafolio»). El cliente los declara aparte de sus metas para no contarlos dos veces. Por la misma razón, si el cliente indica que las cuotas de sus deudas ya están en el gasto familiar, no se suman de nuevo.</w:t>
      </w:r>
    </w:p>
    <w:p>
      <w:pPr>
        <w:spacing w:after="120" w:line="300"/>
      </w:pPr>
      <w:r>
        <w:t>Pensiones. La pensión del régimen básico (IVM u otro), la del ROP y la pensión voluntaria empiezan en el año en que el cliente cumple la edad de pensión (la que indicó o, si no la indicó, la del asesor), sin importar la edad de independencia financiera: la independencia puede ser posterior porque el cliente tiene otros ingresos. Ese primer año se pagan solo los meses que siguen al cumpleaños: (12 − mes de nacimiento) / 12 del monto anual. La edad de cada año de la proyección es la que el cliente cumple ese año (año − año de nacimiento). Los cuestionarios llenados antes de octubre de 2026 no pedían alquileres, cuotas con plazo ni gastos extraordinarios: para ellos esas líneas quedan en cero hasta que se editen.</w:t>
      </w:r>
    </w:p>
    <w:p>
      <w:pPr>
        <w:spacing w:after="120" w:line="300"/>
      </w:pPr>
      <w:r>
        <w:t>Primer año de la proyección. La proyección parte de la fecha en que el cliente llenó el cuestionario, con el capital que declaró ese día. Si lo llenó en el año de inicio, el primer año cuenta solo los meses que faltan, incluido el mes en curso: meses = 13 − mes del cuestionario (un cuestionario de octubre cuenta octubre, noviembre y diciembre: 3 meses). En ese año, los montos recurrentes se multiplican por meses / 12: los ingresos (actividad, pareja, otros ingresos, alquileres y pensiones), el gasto familiar, los gastos de dependientes, las donaciones, las cuotas, los gastos extraordinarios de cada año y el rendimiento del portafolio y de los fondos de pensión. Por ejemplo, un gasto de dependientes de US$120 000 al año que empieza en 2026, con un cuestionario de octubre de 2026, suma US$30 000 ese año (120 000 / 12 × 3) y el monto completo desde 2027. Los montos puntuales (ingresos extraordinarios, ventas de activos, gastos de una vez y metas) van completos en su año. Si la pensión empieza ese mismo año, se toma el menor entre los meses después del cumpleaños y los meses que faltan. Los términos reales descuentan la inflación del tiempo transcurrido desde hoy: (1 + inflación)^(período − 1 + meses / 12). Si el cuestionario es de un año anterior al de inicio de la proyección, el primer año está completo. El Excel lleva los meses en la celda F24, editable.</w:t>
      </w:r>
    </w:p>
    <w:p>
      <w:pPr>
        <w:pStyle w:val="Heading2"/>
      </w:pPr>
      <w:r>
        <w:t>2.2 Estructura del Excel</w:t>
      </w:r>
    </w:p>
    <w:p>
      <w:pPr>
        <w:pStyle w:val="ListParagraph"/>
        <w:numPr>
          <w:ilvl w:val="0"/>
          <w:numId w:val="2"/>
        </w:numPr>
        <w:spacing w:after="60" w:line="290"/>
      </w:pPr>
      <w:r>
        <w:rPr>
          <w:b/>
          <w:bCs/>
        </w:rPr>
        <w:t xml:space="preserve">Cliente: en las columnas B a E, el perfil de riesgo, los activos y pasivos, los rendimientos mínimos esperado y necesario, las carteras sugerida y de equilibrio y los resultados de la proyección, seguidos de los datos declarados, el patrimonio total y los supuestos; desde la columna G, los gráficos, separados de los datos.</w:t>
      </w:r>
    </w:p>
    <w:p>
      <w:pPr>
        <w:pStyle w:val="ListParagraph"/>
        <w:numPr>
          <w:ilvl w:val="0"/>
          <w:numId w:val="2"/>
        </w:numPr>
        <w:spacing w:after="60" w:line="290"/>
      </w:pPr>
      <w:r>
        <w:rPr>
          <w:b/>
          <w:bCs/>
        </w:rPr>
        <w:t>Proyección: título y nota en las filas 1 y 2. Desde la fila 4, cinco bloques con su título, separados por una columna en blanco: supuestos (B:G; en la columna F el valor que usa la proyección y en la G su origen: asesor, perfil de riesgo, cuestionario o no aplica), ingresos ordinarios y extraordinarios (I:P), gastos ordinarios y extraordinarios (R:X), inversiones y desinversiones (Z:AE) y el resumen del plan (AG:AO). Los bloques de ingresos, gastos, inversiones y desinversiones enlazan las hojas de detalle. Las celdas color crema son insumos editables. Después de los supuestos quedan dos filas en blanco; desde la fila 27, la proyección anual: banda, bloques y encabezados, y una fila por año desde la 30.</w:t>
      </w:r>
      <w:r/>
    </w:p>
    <w:p>
      <w:pPr>
        <w:pStyle w:val="ListParagraph"/>
        <w:numPr>
          <w:ilvl w:val="0"/>
          <w:numId w:val="2"/>
        </w:numPr>
        <w:spacing w:after="60" w:line="290"/>
      </w:pPr>
      <w:r>
        <w:rPr>
          <w:b/>
          <w:bCs/>
        </w:rPr>
        <w:t xml:space="preserve">Ingresos, Gastos, Inversiones, Desinversiones y Retiros del portafolio (metas pagadas con el portafolio y retiros adicionales): una fila por elemento, como lo declaró el cliente: monto declarado, moneda, tipo de cambio aplicado (el de la celda F7 de la hoja Proyección para los colones y 1 para los dólares) y monto en dólares = monto declarado / tipo de cambio. Así se ve cómo se dolariza cada monto antes de entrar a la proyección. Cada lista termina con filas libres para agregar elementos, el total de la sección y los totales de la proyección en dólares nominales. Las ventas de inmuebles con valor y deuda en monedas distintas tienen su detalle: valor y deuda en dólares, porcentaje que se invierte y monto que entra. Las demás inversiones del patrimonio (inmuebles, empresa, capital privado y fondos de pensión) se muestran como información y no entran a la proyección.</w:t>
      </w:r>
    </w:p>
    <w:p>
      <w:pPr>
        <w:pStyle w:val="ListParagraph"/>
        <w:numPr>
          <w:ilvl w:val="0"/>
          <w:numId w:val="2"/>
        </w:numPr>
        <w:spacing w:after="60" w:line="290"/>
      </w:pPr>
      <w:r>
        <w:rPr>
          <w:b/>
          <w:bCs/>
        </w:rPr>
        <w:t xml:space="preserve">Pensiones (antes «Fondos de pensión»): reúne todas las pensiones del cliente, separadas de los ingresos y gastos. Arriba a la derecha (G4:M7), la pensión del régimen básico (IVM, Magisterio u otro): monto mensual declarado, moneda, tipo de cambio, monto en dólares y período de inicio. Abajo, el ROP, el FCL y la pensión voluntaria, con su evolución anual. En la proyección siguen siendo ingresos ordinarios, cada una en su columna.</w:t>
      </w:r>
    </w:p>
    <w:p>
      <w:pPr>
        <w:pStyle w:val="ListParagraph"/>
        <w:numPr>
          <w:ilvl w:val="0"/>
          <w:numId w:val="2"/>
        </w:numPr>
        <w:spacing w:after="60" w:line="290"/>
      </w:pPr>
      <w:r>
        <w:rPr>
          <w:b/>
          <w:bCs/>
        </w:rPr>
        <w:t>Supuestos: la columna F lleva exactamente los valores que fijó el asesor en el dashboard y los que dio el cliente en el cuestionario, sin valores agregados: tipo de cambio e inflaciones (F7 a F12), rendimiento esperado del perfil (F13), rendimiento de los fondos de pensión (F14), aporte estimado al ROP y al FCL (F15 y F16), gasto en el retiro (F18), años hasta la independencia (F19) y edad de inicio de la pensión (F20), mes de nacimiento (F21) la parte del gasto familiar pagada en dólares (F22) y en colones (F23 = 100% − F22) y los meses de la proyección en el primer año (F24). Ninguna fórmula lleva un supuesto escrito como número fijo: todas leen estas celdas, también la hoja Fondos de pensión, de modo que al cambiar un supuesto el Excel se recalcula completo. Un supuesto que no aplica al cliente aparece como N/A y no entra a ningún cálculo.</w:t>
      </w:r>
      <w:r/>
    </w:p>
    <w:p>
      <w:pPr>
        <w:pStyle w:val="ListParagraph"/>
        <w:numPr>
          <w:ilvl w:val="0"/>
          <w:numId w:val="2"/>
        </w:numPr>
        <w:spacing w:after="60" w:line="290"/>
      </w:pPr>
      <w:r>
        <w:rPr>
          <w:b/>
          <w:bCs/>
        </w:rPr>
        <w:t>Fondos de pensión: evolución del ROP, el FCL y la pensión voluntaria; su rendimiento (E5), el crecimiento de los aportes (E6 y E10) y los años de aportes (E7) se enlazan con la hoja Proyección; quedan fijas las columnas de período y año, y las filas se desplazan libremente.</w:t>
      </w:r>
      <w:r/>
    </w:p>
    <w:p>
      <w:pPr>
        <w:pStyle w:val="ListParagraph"/>
        <w:numPr>
          <w:ilvl w:val="0"/>
          <w:numId w:val="2"/>
        </w:numPr>
        <w:spacing w:after="60" w:line="290"/>
      </w:pPr>
      <w:r>
        <w:rPr>
          <w:b/>
          <w:bCs/>
        </w:rPr>
        <w:t xml:space="preserve">Datos: insumos de los gráficos (perfil de riesgo, carteras y equilibrio).</w:t>
      </w:r>
    </w:p>
    <w:p>
      <w:pPr>
        <w:spacing w:after="120" w:line="300"/>
      </w:pPr>
      <w:r>
        <w:t>Los montos se declaran en valor de hoy y se llevan al año t con el índice (1 + inflación)^(t − 1), usando la inflación de la moneda en que se declaró cada monto: la inflación local (Costa Rica) para los montos en colones y la internacional (EE. UU.) para los montos en dólares. Los términos reales del portafolio se calculan con la inflación internacional, porque el portafolio está en dólares. Cada monto se declara con su moneda (USD o CRC). El Excel registra el monto declarado y su moneda y, a la par, el monto en dólares con la fórmula monto / tipo de cambio (F7) cuando es en colones. El tipo de cambio se mantiene constante en el horizonte.</w:t>
      </w:r>
    </w:p>
    <w:p>
      <w:pPr>
        <w:spacing w:after="120" w:line="300"/>
      </w:pPr>
      <w:r>
        <w:rPr>
          <w:b/>
          <w:bCs/>
        </w:rPr>
        <w:t xml:space="preserve">Patrimonio total. </w:t>
      </w:r>
      <w:r>
        <w:t>Inversiones líquidas (este portafolio) + fondos de pensión + inmuebles de inversión + empresa (según la participación) + capital privado, menos la hipoteca, la deuda de los inmuebles y las otras deudas. No incluye la vivienda principal, cuyo valor no se pide.</w:t>
      </w:r>
    </w:p>
    <w:p>
      <w:pPr>
        <w:pStyle w:val="Heading2"/>
      </w:pPr>
      <w:r>
        <w:t>2.3 Columnas y fórmulas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Columna</w:t>
            </w:r>
          </w:p>
        </w:tc>
        <w:tc>
          <w:tcPr>
            <w:tcW w:type="dxa" w:w="4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año t</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Ingreso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 Ingreso de la pareja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(solo en la planificación conjunta)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 Otros ingresos recurrentes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mensual × 12 × índice, desde su período de inicio hasta su período de fin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 Alquileres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mensual × 12 × índice, hasta el año anterior a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J Pensión IVM (o del régimen del cliente)</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 12 desde el año en que el cliente cumple la edad de pensión (F20); ese año × (12 − F21) / 12. Inflación de su moneda hasta el primer pago y de la pensión del IVM después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K Pensión del ROP · L Pensión voluntaria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Hoja «Pensiones», desde la edad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 G + H + I + J + K + L</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Ingresos extraordinarios · O Traslado del FCL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 índice en su año · hoja «Pensiones»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 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 P</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Gasto familiar</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mensual × 12 × (F22 × índice en dólares + F23 × índice en colones); en el retiro × porcentaje (F18)</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 Dependientes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anual × índice en los años indicados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 Donaciones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 Cuotas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Hipoteca y cada deuda: cuota mensual × 12 hasta que termina (las de deudas, solo si no están ya en el gasto familiar)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 S + T + U</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Gastos extraordinarios · X Inversiones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gasto × índice en su año, o cada año desde ese año · cada meta pagada con el portafolio × índice en su año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Y Total salidas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 X</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Z</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 Y</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 − Z</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Inmuebles · AC Empresa · AD Otros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que entra al portafolio × índice en el año de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 AC + AD</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 de 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AF</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Inicial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1: capital; luego, saldo final del año anterior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AH Rendimiento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AG × rendimiento de la cartera del perfil de riesgo (F13)</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AI Flujo neto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 + AF</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Final nominal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 AH + AI + AN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AK Real · AL Tasa de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 (1 + inflación)^t · MÁX(0, −AI) / AG</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AN Gasto no cubierto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MÁX(0, −(AG + AH + AI))</w:t>
            </w:r>
          </w:p>
        </w:tc>
      </w:tr>
    </w:tbl>
    <w:p>
      <w:pPr>
        <w:spacing w:after="120" w:line="300"/>
      </w:pPr>
      <w:r>
        <w:t>El portafolio nunca baja de cero: si los retiros superan el saldo, el faltante se registra como gasto no cubierto. El dashboard muestra exactamente estas columnas y cifras.</w:t>
      </w:r>
    </w:p>
    <w:p>
      <w:pPr>
        <w:pStyle w:val="Heading2"/>
      </w:pPr>
      <w:r>
        <w:t>2.4 Fondos de pensión (Ley 7983)</w:t>
      </w:r>
    </w:p>
    <w:p>
      <w:pPr>
        <w:spacing w:after="120" w:line="300"/>
      </w:pPr>
      <w:r>
        <w:t>Cada fondo crece con sus aportes y su rendimiento: saldo final = saldo inicial + aportes + rendimiento − salidas. Los aportes se pagan hasta la independencia o hasta que empieza la pensión del fondo, lo que ocurra antes, y crecen con la inflación. Si el cliente no conoce su aporte, se estima como un porcentaje del salario.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226"/>
      </w:tblGrid>
      <w:tr>
        <w:trPr>
          <w:tblHeader/>
        </w:trPr>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Fondo</w:t>
            </w:r>
          </w:p>
        </w:tc>
        <w:tc>
          <w:tcPr>
            <w:tcW w:type="dxa" w:w="3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Regla</w:t>
            </w:r>
          </w:p>
        </w:tc>
        <w:tc>
          <w:tcPr>
            <w:tcW w:type="dxa" w:w="42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pago o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traslada al portafolio. Se recibe como pensión desde el año en que el cliente cumple la edad de pensión; ese año, solo los meses después del cumpleaños.</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 saldo × r. Renta temporal o retiro programado: saldo × r / (1 − (1+r)^−n), con n = edad final − edad actual + 1 (87 años en la temporal, 100 en el programado). Sin pensión de un régimen básico: un solo pago a los 65 años, que entra al portafolio.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FCL</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 traslada en cada quinquenio mientras trabaja y al terminar la relación laboral.</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Traslado = saldo inicial + aportes + rendimiento del año del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voluntaria</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ordinario: pensión mensual desde la edad de pensión, como el ROP (la ley permite recibirla desde los 57 años; la proyección la toma desde la edad de pensión).</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 la modalidad que el cliente eligió para el ROP (o la del asesor): renta permanente, saldo × r; renta temporal o retiro programado, saldo × r / (1 − (1+r)^−n). El primer año, × (12 − mes de nacimiento) / 12.</w:t>
            </w:r>
          </w:p>
        </w:tc>
      </w:tr>
    </w:tbl>
    <w:p>
      <w:pPr>
        <w:spacing w:after="120" w:line="300"/>
      </w:pPr>
      <w:r>
        <w:t>r es el rendimiento anual de los fondos. La pensión del ROP (columna K) y la pensión voluntaria (columna L) entran como ingresos ordinarios desde la edad de pensión, con los meses que siguen al cumpleaños el primer año; la voluntaria usa la modalidad que el cliente eligió para el ROP. Lo trasladado del FCL entra como ingreso extraordinario (columna O).</w:t>
      </w:r>
    </w:p>
    <w:p>
      <w:pPr>
        <w:pStyle w:val="Heading2"/>
      </w:pPr>
      <w:r>
        <w:t>2.5 Resultado: ¿alcanza el plan?</w:t>
      </w:r>
    </w:p>
    <w:p>
      <w:pPr>
        <w:shd w:fill="F4F5EE" w:color="auto" w:val="clear"/>
        <w:spacing w:after="120" w:before="60"/>
        <w:ind w:left="360"/>
      </w:pPr>
      <w:r>
        <w:rPr>
          <w:rFonts w:ascii="Consolas" w:cs="Consolas" w:eastAsia="Consolas" w:hAnsi="Consolas"/>
          <w:color w:val="2B3014"/>
          <w:sz w:val="19"/>
          <w:szCs w:val="19"/>
        </w:rPr>
        <w:t>Alcanza = (gasto no cubierto total = 0) y (saldo final en dólares de hoy ≥ herencia deseada)</w:t>
      </w:r>
    </w:p>
    <w:p>
      <w:pPr>
        <w:spacing w:after="120" w:line="300"/>
      </w:pPr>
      <w:r>
        <w:rPr>
          <w:b/>
          <w:bCs/>
        </w:rPr>
        <w:t xml:space="preserve">Rendimiento de equilibrio: el menor rendimiento anual con el que el plan alcanza. Es el rendimiento mínimo necesario. Se compara con el rendimiento esperado (el de la cartera del perfil de riesgo) y se ubica en la frontera de las cinco carteras para indicar qué perfil sería necesario.</w:t>
      </w:r>
    </w:p>
    <w:p>
      <w:pPr>
        <w:spacing w:after="120" w:line="300"/>
      </w:pPr>
      <w:r>
        <w:rPr>
          <w:b/>
          <w:bCs/>
        </w:rPr>
        <w:t xml:space="preserve">Edad a la que se agota: primera edad con gasto no cubierto. Portafolio mínimo requerido: el menor capital inicial con el que, al rendimiento de la cartera del perfil de riesgo, no hay gasto no cubierto y el saldo final cubre la herencia. Tasa de retiro inicial: retiro neto del primer año de retiro (gastos menos ingresos, más metas y retiros directos) sobre el portafolio inicial de ese año. Es menor que el gasto total sobre el portafolio cuando el cliente recibe pensión, alquileres u otros ingresos.</w:t>
      </w:r>
    </w:p>
    <w:p>
      <w:pPr>
        <w:spacing w:after="120" w:line="300"/>
      </w:pPr>
      <w:r>
        <w:rPr>
          <w:b/>
          <w:bCs/>
        </w:rPr>
        <w:t xml:space="preserve">Caminos para alcanzar el objetivo. Si el plan no alcanza, el dashboard, la ficha y el Excel (hoja Cliente) muestran, para cada variable, el cambio que por sí solo y con todo lo demás igual permite cumplir el objetivo, calculado por búsqueda binaria sobre la misma proyección: mayor rendimiento (el rendimiento de equilibrio y la cartera que lo da; no es un camino válido si exige un perfil por encima del perfil de riesgo), mayor capital inicial (el portafolio mínimo requerido), aporte anual adicional al portafolio durante la acumulación (en dólares de hoy, indexado), menor gasto familiar (porcentaje de reducción en todos los años), menores gastos extraordinarios, aporte mensual adicional a la pensión voluntaria (crece al rendimiento de los fondos y se traslada al portafolio a los 57 años o en la independencia, lo que ocurra después, según la Ley 7983), postergar la independencia financiera (más años de ingreso por actividad y de aportes) y menor herencia. Se indica cuántos caminos alcanzan por sí solos; también pueden combinarse, y combinados cada uno exige un ajuste menor.</w:t>
      </w:r>
    </w:p>
    <w:p>
      <w:pPr>
        <w:spacing w:after="120" w:line="300"/>
      </w:pPr>
      <w:r>
        <w:rPr>
          <w:b/>
          <w:bCs/>
        </w:rPr>
        <w:t>Margen del plan. Si el plan ya alcanza, el mismo cálculo muestra hasta dónde puede moverse cada variable sin que el plan deje de alcanzar: rendimiento mínimo, capital inicial mínimo, aumento máximo del gasto familiar, independencia más temprana posible y saldo final disponible frente a la herencia.</w:t>
      </w:r>
      <w:r/>
    </w:p>
    <w:p>
      <w:pPr>
        <w:spacing w:after="120" w:line="300"/>
      </w:pPr>
      <w:r>
        <w:rPr>
          <w:b/>
          <w:bCs/>
        </w:rPr>
        <w:t xml:space="preserve">Escenarios: se retiraron del dashboard, la ficha, la presentación y el Excel en la versión 5.24; se incluirán más adelante. En su lugar está la estrategia de flujo de caja por moneda.</w:t>
      </w:r>
    </w:p>
    <w:p>
      <w:pPr>
        <w:pStyle w:val="Heading2"/>
      </w:pPr>
      <w:r>
        <w:t>2.6 Supuestos del analista</w:t>
      </w:r>
    </w:p>
    <w:p>
      <w:pPr>
        <w:spacing w:after="120" w:line="300"/>
      </w:pPr>
      <w:r>
        <w:t>Se fijan para cada cliente antes de calcular su proyección; los valores de la firma son el punto de partida. El panel solo muestra los supuestos que usa la proyección del cliente y que el cliente no respondió: si indicó en el cuestionario la edad de inicio de su pensión, la modalidad del ROP, sus aportes o el porcentaje de gasto en el retiro, esos datos se muestran como datos del cliente y no se vuelven a pedir. Los supuestos que no aplican (por ejemplo, el tipo de cambio de un cliente sin montos en colones o la inflación de la pensión de un cliente sin pensión ni ROP) quedan en N/A de forma automática, con su motivo; no entran a ninguna fórmula, así que el N/A no puede alterar la proyección. Un supuesto que el cliente sí usa nunca queda en N/A. La inflación de ingresos, la de salud y el ajuste de alquileres eran referenciales (no entraban a ninguna fórmula) y se retiraron del panel, del Excel y de la ficha. En el panel, los supuestos se agrupan como en el Excel (mercado, pensiones y fondos de pensión, retiro de familias y personas, horizonte). Debajo, en un recuadro con los mismos grupos, aparecen los datos que ya resolvió el cuestionario, con la marca «Cuestionario», y los supuestos que no aplican, con una leyenda que explica por qué. La hoja Cliente del Excel lista los mismos supuestos y los datos del cuestionario que hacen de supuesto.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3926"/>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Supuesto</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Valor actual</w:t>
            </w:r>
          </w:p>
        </w:tc>
        <w:tc>
          <w:tcPr>
            <w:tcW w:type="dxa" w:w="3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Qué hace en el cálculo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Tipo de cambio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450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Convierte colones a dólares (F7)</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local (Costa Rica)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colones (F8)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internacional (EE. UU.)</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dólares y deflacta a términos reales (F9)</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del IVM</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Ajuste anual de la pensión del régimen básico después del primer pago (F10)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al ROP y al FCL (F11; hoja Fondos, E6)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voluntaria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 la pensión voluntaria (F12; hoja Fondos, E10)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inicial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en curso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Primer año de la proyección (B25)</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Último año proyectado: edad final del cliente o, si la planificación es conjunta, del menor de los dos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Factor de gasto en el retiro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menor · 110% mayor</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del retiro respecto del actual, según lo que declare el cliente (F18)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de los fondos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anual del ROP, el FCL y la pensión voluntaria (F14)</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estimado al ROP y al FCL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4,25% · 1,5% del salario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mensual cuando el cliente no lo conoce (F15 y F16)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Inicio de la pensión y del ROP cuando el cliente no indica edad (F20)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cuando el cliente no la elige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Expectativa de vida (renta temporal)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87</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renta temporal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 del retiro programado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retiro programado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Carteras por perfil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Tabla de la sección 1.4</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que usa la proyección (celda F13)</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2026-10-16T21:55:02.570Z</dcterms:created>
  <dcterms:modified xsi:type="dcterms:W3CDTF">2026-10-29T21:15:00Z</dcterms:modified>
</cp:coreProperties>
</file>

<file path=docProps/custom.xml><?xml version="1.0" encoding="utf-8"?>
<Properties xmlns="http://schemas.openxmlformats.org/officeDocument/2006/custom-properties" xmlns:vt="http://schemas.openxmlformats.org/officeDocument/2006/docPropsVTypes"/>
</file>