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1.5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28.</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02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1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102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B4:F12</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F6 tipo de cambio · F7 inflación de ingresos · F8 inflación · F9 inflación de la pensión · F10 inflación de salud · F11 ajuste de alquileres · F12 rendimiento esperado del portafolio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H4:K13</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K6 ingreso total mensual · K7 otros ingresos mensuales · K8 período de inicio de otros ingresos · K9 pensión mensual · K10 edad de inicio de la pensión · K11 período del primer pago de pensión · K12 años hasta la independencia · K13 años con ingreso total</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M4:P13</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P6 gasto familiar mensual · P7 gasto en el retiro (% del actual) · P8 donaciones al año · P9 y P10 cuota y años de la hipoteca · P11, P12 y P13 deudas y gastos extraordinarios de cuestionarios anteriores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Tablas por año</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R4:AD38</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Una columna por elemento (U a AD), numerada como en el cuestionario, con un subtítulo por grupo. Filas 8-10 ingresos extraordinarios (n.º y nombre, año, monto) · 12-14 desinversiones (año, monto, tipo) · 16-18 gastos de dependientes · 20-21 alquileres · 23-24 metas · 26-27 primer retiro · 29-32 gastos extraordinarios (n.º y nombre, año, monto, frecuencia) · 34-38 deudas (n.º y nombre, cuota, último año, saldo, tasa)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Encabezados</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43, 45 y 46</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Banda de la proyección, bloque de cada grupo de columnas y nombre de cada columna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1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Desde la fila 47</w:t>
            </w:r>
          </w:p>
        </w:tc>
        <w:tc>
          <w:tcPr>
            <w:tcW w:type="dxa" w:w="102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Una fila por año, toda con fórmulas. Al final, el resumen del plan</w:t>
            </w:r>
          </w:p>
        </w:tc>
      </w:tr>
    </w:tbl>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otros ingresos recurrentes · H alquileres · I pensión · J pensión del ROP · K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 ingresos extraordinarios · M traslado de FCL y pensión voluntaria · N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O = K + 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 gasto familiar · Q gastos de dependientes · R donaciones · S cuotas de hipoteca y deudas · T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 = T + U</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O − V</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superávit invertido en el portafolio = MÁX(0; W) · Y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venta de inmuebles · AA venta de la empresa · AB venta de otros activos · AC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Retiros del 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retiro para cubrir el déficit = MÍN(0; W) · AE metas pagadas con el portafolio · AF primer retiro · AG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 inicial · AI rendimiento = AH × F12 · AJ gasto no cubierto · AK final nominal = AH + AI + Y + AC + AG + AJ · AL en términos reales · AM tasa de retiro</w:t>
            </w:r>
          </w:p>
        </w:tc>
      </w:tr>
    </w:tbl>
    <w:p>
      <w:pPr>
        <w:spacing w:after="120" w:line="300"/>
      </w:pPr>
      <w:r>
        <w:t xml:space="preserve">Índice de inflación del año t: (1 + F8)^(t − 1). Los montos declarados en colones se escriben como monto / F6.</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F12</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F12. F12 multiplica el portafolio inicial de cada año (columna AI).</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K12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P,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(K13). Desde la independencia el gasto familiar se multiplica por P7.</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K6; K13</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K6 × 12 × índice mientras el período sea ≤ K13.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K9, K10, K11; K7, K8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 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 = K9 × 12 desde el período K11, con inflación general hasta el primer pago y con F9 después. G = K7 × 12 × índice desde el período K8. Si el cliente no conoce el monto de la pensión, lo estima el asesor; mientras tanto no entra en la proyección. Si ya la recibe, se pide el monto de hoy y la edad a la que se pensionó, y K11 = 1 (entra desde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M</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recibe la pensión del ROP y M los traslados del FCL y la pensión voluntaria. La operadora es descriptiva. Si el cliente ya recibe su pensión: el ROP que ya cobra va dentro de la pensión (I) y J queda en 0; el saldo del FCL entra en M en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U8:AD8 (n.º y nombre), U9:AD9 (año), U10:AD10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 = monto × índice en el año indicado.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P6,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 = P6 × 12 × índice; desde la independencia, × P7. El porcentaje en dólares es informativo (exposición al tipo de cambio). Si ya recibe la pensión, P7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U16:AD16 (inicio), U17:AD17 (años), U18:AD18 (monto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suma de los montos vigentes en el año × índice. Parentesco: hijo o hija, padre o madre, otro familiar u otro.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P8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U34:AD34 (n.º y nombre), U35:AD35 (cuota), U36:AD36 (último año); U37:AD38 saldo y tasa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suma la cuota × 12 de cada deuda mientras el año sea ≤ su último año de pago, más la hipoteca (P9, P10). Sin indexar.</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U29:AD29 (n.º y nombre), U30:AD30 (año), U31:AD31 (monto), U32:AD32 (1 una vez · 2 cada año)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 monto × índice en su año, o cada año desde ese año.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AH47 (portafolio inicial del año 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El monto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P9, P10 (hipoteca); U20:AD21 (alquileres); U12:AD14 con tipo 1 (venta)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H, Z</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U12:AD14 con tipo 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U12:AD14 con tipo 3</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 monto × índice en el año de la venta.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U26 (año), U27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−U27 × índice en el año U26.</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U23:AD23 (año), U24:AD24 (monto)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AE = −monto × índice en el año de cada meta pagada con el portafolio. Las financiadas con crédito no entran.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no cubre la herencia, el plan no alcanza.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3 a 7, 9 a 15 y 17 a 20 del cuestionario 2, y las diez preguntas del cuestionario 1 a través del rendimiento esperado (F12).</w:t>
      </w:r>
    </w:p>
    <w:p>
      <w:pPr>
        <w:pStyle w:val="ListParagraph"/>
        <w:numPr>
          <w:ilvl w:val="0"/>
          <w:numId w:val="2"/>
        </w:numPr>
        <w:spacing w:after="60" w:line="290"/>
      </w:pPr>
      <w:r>
        <w:rPr>
          <w:b/>
          <w:bCs/>
        </w:rPr>
        <w:t xml:space="preserve">No calculan la proyección: </w:t>
      </w:r>
      <w:r>
        <w:t xml:space="preserve">preguntas 2, 8, 16, 21, 22, 23 y 24. Quedan en la hoja Cliente; la 16 entra al patrimonio total.</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las cuotas (11 y 14), que se suman aparte en los gastos ordinarios. La pregunta 8 solo informa quiénes dependen del cliente.</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2026-10-20T10:34:41.615Z</dcterms:created>
  <dcterms:modified xsi:type="dcterms:W3CDTF">2026-10-20T10:34:41.616Z</dcterms:modified>
</cp:coreProperties>
</file>

<file path=docProps/custom.xml><?xml version="1.0" encoding="utf-8"?>
<Properties xmlns="http://schemas.openxmlformats.org/officeDocument/2006/custom-properties" xmlns:vt="http://schemas.openxmlformats.org/officeDocument/2006/docPropsVTypes"/>
</file>