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Chotocruz &amp; Co. · documento interno · versión 5.1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El método da dos conclusiones separadas, cada una con su puntaje de 0 a 10 y su perfil:</w:t>
      </w:r>
    </w:p>
    <w:p>
      <w:pPr>
        <w:pStyle w:val="ListParagraph"/>
        <w:numPr>
          <w:ilvl w:val="0"/>
          <w:numId w:val="2"/>
        </w:numPr>
        <w:spacing w:after="60" w:line="290"/>
      </w:pPr>
      <w:r>
        <w:rPr>
          <w:b/>
          <w:bCs/>
        </w:rPr>
        <w:t xml:space="preserve">Perfil de riesgo. </w:t>
      </w:r>
      <w:r>
        <w:t>Sale solo de las diez preguntas del cuestionario 1. Su puntaje es el promedio ponderado de las diez respuestas y se ubica en uno de los cinco perfiles.</w:t>
      </w:r>
    </w:p>
    <w:p>
      <w:pPr>
        <w:pStyle w:val="ListParagraph"/>
        <w:numPr>
          <w:ilvl w:val="0"/>
          <w:numId w:val="2"/>
        </w:numPr>
        <w:spacing w:after="60" w:line="290"/>
      </w:pPr>
      <w:r>
        <w:rPr>
          <w:b/>
          <w:bCs/>
        </w:rPr>
        <w:t>Perfil financiero. Agrega la capacidad financiera, medida con el flujo del cuestionario de planificación. El puntaje financiero es el menor entre el puntaje del perfil de riesgo y la capacidad financiera.</w:t>
      </w:r>
      <w:r/>
    </w:p>
    <w:p>
      <w:pPr>
        <w:pStyle w:val="ListParagraph"/>
        <w:numPr>
          <w:ilvl w:val="0"/>
          <w:numId w:val="2"/>
        </w:numPr>
        <w:spacing w:after="60" w:line="290"/>
      </w:pPr>
      <w:r>
        <w:t>La planificación puede confirmar o bajar el perfil de riesgo, nunca subirlo. La proyección usa el rendimiento del perfil financiero.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pérdida anual esperada de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pérdida anual esperada de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pérdida anual esperada de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pérdida anual esperada de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pérdida anual esperada de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frente a riesgo</w:t>
      </w:r>
    </w:p>
    <w:p>
      <w:pPr>
        <w:spacing w:after="120" w:line="300"/>
      </w:pPr>
      <w:r>
        <w:rPr>
          <w:i/>
          <w:iCs/>
        </w:rPr>
        <w:t>Para alcanzar sus metas financieras, puede depender más de sus aportes o asumir más riesgo buscando un mayor rendimiento del portafolio. ¿Qué prefiere?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aumentar mis aportes y asumir un nivel bajo de riesgo en el portafolio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aportar un poco más y mantener un nivel moderado de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mantener mis aportes previstos y aceptar un mayor nivel de riesgo para buscar más rendimiento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depender más del rendimiento del portafolio, aun si eso implica asumir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 · 0%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1.5 Capacidad financiera</w:t>
      </w:r>
    </w:p>
    <w:p>
      <w:pPr>
        <w:spacing w:after="120" w:line="300"/>
      </w:pPr>
      <w:r>
        <w:t>Mide cuánto riesgo puede soportar el cliente, con independencia de cuánto quiere asumir. Se calcula con el flujo de los primeros cinco años de la proyección y con datos del cuestionario de planificación, en seis componentes que siguen la estructura de la hoja «Proyección»: ingresos, gastos, inversiones, desinversiones, tamaño del portafolio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3)</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de cinco años (déficit, metas y primer retiro)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4 de 6)</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Datos faltantes. Cada componente se calcula solo si el cliente dio los datos que lo alimentan. Si no, queda «sin dato», se rotula así en el radar y en la ficha y no entra al promedio: no se supone ningún valor. Si menos de cuatro de los seis componentes tienen dato, la capacidad no se mide, el perfil financiero queda igual al perfil de riesgo y el dashboard pide completar el cuestionario antes de proponer una cartera,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En familias, el conocimiento se mide con la pregunta 10 (alternativa única de inversión), que ya forma parte del perfil de riesgo; no se aplica otra vez. En instituciones se pregunta aparte y funciona como techo del perfil financiero: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1.7 Perfil financiero</w:t>
      </w:r>
    </w:p>
    <w:p>
      <w:pPr>
        <w:shd w:fill="F4F5EE" w:color="auto" w:val="clear"/>
        <w:spacing w:after="120" w:before="60"/>
        <w:ind w:left="360"/>
      </w:pPr>
      <w:r>
        <w:rPr>
          <w:rFonts w:ascii="Consolas" w:cs="Consolas" w:eastAsia="Consolas" w:hAnsi="Consolas"/>
          <w:color w:val="2B3014"/>
          <w:sz w:val="19"/>
          <w:szCs w:val="19"/>
        </w:rPr>
        <w:t>Puntaje financiero = mínimo { puntaje del perfil de riesgo ; capacidad financiera }</w:t>
      </w:r>
    </w:p>
    <w:p>
      <w:pPr>
        <w:shd w:fill="F4F5EE" w:color="auto" w:val="clear"/>
        <w:spacing w:after="120" w:before="60"/>
        <w:ind w:left="360"/>
      </w:pPr>
      <w:r>
        <w:rPr>
          <w:rFonts w:ascii="Consolas" w:cs="Consolas" w:eastAsia="Consolas" w:hAnsi="Consolas"/>
          <w:color w:val="2B3014"/>
          <w:sz w:val="19"/>
          <w:szCs w:val="19"/>
        </w:rPr>
        <w:t>Perfil financiero = tramo del puntaje financiero, con el techo de conocimiento si lo hay</w:t>
      </w:r>
    </w:p>
    <w:p>
      <w:pPr>
        <w:spacing w:after="120" w:line="300"/>
      </w:pPr>
      <w:r>
        <w:t>El perfil de riesgo y la capacidad usan la misma escala de 0 a 10 y los mismos cortes, para que se puedan comparar directamente. Si el techo de conocimiento es más bajo, el puntaje financiero queda en el límite superior del tramo que permite ese techo.</w:t>
      </w:r>
    </w:p>
    <w:p>
      <w:pPr>
        <w:spacing w:after="120" w:line="300"/>
      </w:pPr>
      <w:r>
        <w:rPr>
          <w:b/>
          <w:bCs/>
        </w:rPr>
        <w:t xml:space="preserve">Ejemplo. </w:t>
      </w:r>
      <w:r>
        <w:t>Perfil de riesgo 6,9 (moderado agresivo) y capacidad 5,0 (moderado): el puntaje financiero es 5,0 y el perfil financiero es moderado. La planificación bajó el perfil por la capacidad financiera.</w:t>
      </w:r>
    </w:p>
    <w:p>
      <w:pPr>
        <w:pStyle w:val="Heading2"/>
      </w:pPr>
      <w:r>
        <w:t>1.8 Presentación de los resultados</w:t>
      </w:r>
    </w:p>
    <w:p>
      <w:pPr>
        <w:spacing w:after="120" w:line="300"/>
      </w:pPr>
      <w:r>
        <w:t>El dashboard, la ficha PDF y el Excel muestran las dos conclusiones por separado. El encabezado del dashboard y de la ficha resume el perfil del inversionista (perfil de riesgo, perfil financiero, rendimiento anual esperado y cartera modelo), el portafolio mínimo requerido, la tasa de retiro inicial y el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Perfil financiero: radar con el perfil de riesgo y los seis componentes de la capacidad (la línea punteada es la capacidad; los componentes sin dato se rotulan «Sin dato»), barras del perfil de riesgo, la capacidad y sus componentes, puntaje financiero y perfil financiero, con una frase que dice si la planificación confirmó o bajó el perfil.</w:t>
      </w:r>
      <w:r/>
    </w:p>
    <w:p>
      <w:pPr>
        <w:pStyle w:val="Heading2"/>
      </w:pPr>
      <w:r>
        <w:t>1.9 Fundamento</w:t>
      </w:r>
    </w:p>
    <w:p>
      <w:pPr>
        <w:spacing w:after="120" w:line="300"/>
      </w:pPr>
      <w:r>
        <w:t>La tolerancia y el apetito miden la actitud ante el riesgo (Grable y Lytton, 1999). La capacidad financiera se mide aparte, con datos objetivos de la planificación, y solo puede bajar el perfil, como plantean Cordell (2001) y las directrices de idoneidad de MiFID II (ESMA, 2018): a un cliente no se le asigna más riesgo del que declara tolerar, aunque su patrimonio lo permita.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K12,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 Perfil financiero: ingresos totales (con la predictibilidad) y gastos totales. Fuentes: salario, empresa propia y honorarios. Un pensionado sin otro ingreso escribe 0 y no marca fuente.</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y G</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su edad de inicio. Otros ingresos desde hoy o desde el año indicado.</w:t>
            </w:r>
            <w:r>
              <w:rPr>
                <w:sz w:val="19"/>
              </w:rPr>
              <w:t xml:space="preserve"> Si el cliente no conoce el monto de la pensión, lo estima el asesor; mientras tanto no entra en la proyección.</w:t>
            </w:r>
            <w:r>
              <w:rPr>
                <w:sz w:val="19"/>
              </w:rPr>
              <w:t xml:space="preserve"> Si el cliente ya recibe la pensión, se pide el monto que recibe hoy y la edad a la que se pensionó; la pensión entra desde el año 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ingresos extraordinarios · M</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se recibe como pensión (J). El FCL y la voluntaria se trasladan al portafolio en su año (M). La operadora es descriptiva.</w:t>
            </w:r>
            <w:r>
              <w:rPr>
                <w:sz w:val="19"/>
              </w:rPr>
              <w:t xml:space="preserve"> Si ya recibe la pensión: el ROP que ya cobra se incluye en el monto de la pensión y no se proyecta aparte; el saldo del FCL se traslada en el año 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filas 8 a 10).</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P</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índice; desde la independencia, × el porcentaje declarado (P7). No incluye cuotas, donaciones ni los gastos de la pregunta 9. El porcentaje en dólares es informativo: mide la exposición al tipo de cambio. Si ya recibe la pensión, no se pide el porcentaje en el retiro y se toma 100%.</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Q</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w:t>
            </w:r>
            <w:r>
              <w:rPr>
                <w:sz w:val="19"/>
              </w:rPr>
              <w:t xml:space="preserve"> Parentesco: hijo o hija, padre o madre, otro familiar u otro.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(P8)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Cuota mensual × 12 de cada deuda hasta el año en que termina, sin indexar (tabla, filas 34 a 38). Perfil financiero: gastos totales.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filas 29 a 32).</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 AH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inicial. Perfil financiero: tamaño del portafolio, inversiones y desinversiones. Patrimonio total. El dashboard calcula además el peso del portafolio con los activos declarados, como dato de control; no interviene en la proyección.</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H; gastos ordinarios · S; desinversiones · Z</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 propia y su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w:t>
            </w:r>
            <w:r>
              <w:rPr>
                <w:sz w:val="19"/>
              </w:rPr>
              <w:t xml:space="preserve"> No incluye el capital privado de la pregunta 16.</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 del portafolio distinto de las metas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 AF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Perfil financiero: horizonte y desinversiones.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 AE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Solo las metas pagadas con una salida del portafolio. Las financiadas con crédito no se restan; su cuota va en la pregunta 11.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Estructuras jurídicas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 xml:space="preserve">Ingresos totales (O) = </w:t>
      </w:r>
      <w:r>
        <w:t>ingresos ordinarios (K = F + G + H + I + J) + ingresos extraordinarios (N = L + M).</w:t>
      </w:r>
    </w:p>
    <w:p>
      <w:pPr>
        <w:pStyle w:val="ListParagraph"/>
        <w:numPr>
          <w:ilvl w:val="0"/>
          <w:numId w:val="2"/>
        </w:numPr>
        <w:spacing w:after="60" w:line="290"/>
      </w:pPr>
      <w:r>
        <w:rPr>
          <w:b/>
          <w:bCs/>
        </w:rPr>
        <w:t xml:space="preserve">Gastos totales (V) = </w:t>
      </w:r>
      <w:r>
        <w:t>gastos ordinarios (T = P + Q + R + S) + gastos extraordinarios (U). El gasto familiar excluye las cuotas, las donaciones y los gastos de dependientes de la pregunta 9, que se suman aparte.</w:t>
      </w:r>
    </w:p>
    <w:p>
      <w:pPr>
        <w:pStyle w:val="ListParagraph"/>
        <w:numPr>
          <w:ilvl w:val="0"/>
          <w:numId w:val="2"/>
        </w:numPr>
        <w:spacing w:after="60" w:line="290"/>
      </w:pPr>
      <w:r>
        <w:rPr>
          <w:b/>
          <w:bCs/>
        </w:rPr>
        <w:t xml:space="preserve">Flujo neto (W) = </w:t>
      </w:r>
      <w:r>
        <w:t>O − V. El superávit es la inversión del año (X y su total Y); el déficit se retira del portafolio (AD).</w:t>
      </w:r>
    </w:p>
    <w:p>
      <w:pPr>
        <w:pStyle w:val="ListParagraph"/>
        <w:numPr>
          <w:ilvl w:val="0"/>
          <w:numId w:val="2"/>
        </w:numPr>
        <w:spacing w:after="60" w:line="290"/>
      </w:pPr>
      <w:r>
        <w:rPr>
          <w:b/>
          <w:bCs/>
        </w:rPr>
        <w:t xml:space="preserve">Desinversiones (AC) = </w:t>
      </w:r>
      <w:r>
        <w:t>Z + AA + AB: el dinero de la venta de activos que entra al portafolio.</w:t>
      </w:r>
    </w:p>
    <w:p>
      <w:pPr>
        <w:pStyle w:val="ListParagraph"/>
        <w:numPr>
          <w:ilvl w:val="0"/>
          <w:numId w:val="2"/>
        </w:numPr>
        <w:spacing w:after="60" w:line="290"/>
      </w:pPr>
      <w:r>
        <w:rPr>
          <w:b/>
          <w:bCs/>
        </w:rPr>
        <w:t xml:space="preserve">Retiros del portafolio (AG) = </w:t>
      </w:r>
      <w:r>
        <w:t>AD + AE + AF.</w:t>
      </w:r>
    </w:p>
    <w:p>
      <w:pPr>
        <w:spacing w:after="120" w:line="300"/>
      </w:pPr>
      <w:r>
        <w:t>Los cuestionarios llenados antes de octubre de 2026 no pedían alquileres, cuotas con plazo, gastos extraordinarios ni el primer retiro como monto proyectable: para ellos esas líneas quedan en cero hasta que se editen.</w:t>
      </w:r>
    </w:p>
    <w:p>
      <w:pPr>
        <w:pStyle w:val="Heading2"/>
      </w:pPr>
      <w:r>
        <w:t>2.2 Estructura del Excel</w:t>
      </w:r>
    </w:p>
    <w:p>
      <w:pPr>
        <w:pStyle w:val="ListParagraph"/>
        <w:numPr>
          <w:ilvl w:val="0"/>
          <w:numId w:val="2"/>
        </w:numPr>
        <w:spacing w:after="60" w:line="290"/>
      </w:pPr>
      <w:r>
        <w:rPr>
          <w:b/>
          <w:bCs/>
        </w:rPr>
        <w:t xml:space="preserve">Cliente: </w:t>
      </w:r>
      <w:r>
        <w:t>respuestas del cuestionario, perfil de riesgo, perfil financiero y patrimonio total.</w:t>
      </w:r>
    </w:p>
    <w:p>
      <w:pPr>
        <w:pStyle w:val="ListParagraph"/>
        <w:numPr>
          <w:ilvl w:val="0"/>
          <w:numId w:val="2"/>
        </w:numPr>
        <w:spacing w:after="60" w:line="290"/>
      </w:pPr>
      <w:r>
        <w:rPr>
          <w:b/>
          <w:bCs/>
        </w:rPr>
        <w:t>Proyección: título y nota en las filas 1 y 2; insumos editables (celdas color crema) en cuatro bloques con su título desde la fila 4: supuestos (B:F), ingresos (H:K), gastos (M:P) y tablas por año (R:AD, un elemento por columna, numerados como en el cuestionario). Debajo, separada por filas en blanco, la proyección anual: banda de bloques en la fila 45, encabezados en la 46 y una fila por año desde la 47. Al final, el resumen del plan.</w:t>
      </w:r>
      <w:r/>
    </w:p>
    <w:p>
      <w:pPr>
        <w:pStyle w:val="ListParagraph"/>
        <w:numPr>
          <w:ilvl w:val="0"/>
          <w:numId w:val="2"/>
        </w:numPr>
        <w:spacing w:after="60" w:line="290"/>
      </w:pPr>
      <w:r>
        <w:rPr>
          <w:b/>
          <w:bCs/>
        </w:rPr>
        <w:t xml:space="preserve">Fondos de pensión: </w:t>
      </w:r>
      <w:r>
        <w:t>evolución del ROP, el FCL y la pensión voluntaria.</w:t>
      </w:r>
    </w:p>
    <w:p>
      <w:pPr>
        <w:pStyle w:val="ListParagraph"/>
        <w:numPr>
          <w:ilvl w:val="0"/>
          <w:numId w:val="2"/>
        </w:numPr>
        <w:spacing w:after="60" w:line="290"/>
      </w:pPr>
      <w:r>
        <w:rPr>
          <w:b/>
          <w:bCs/>
        </w:rPr>
        <w:t xml:space="preserve">Datos: </w:t>
      </w:r>
      <w:r>
        <w:t>insumos de los gráficos (perfil de riesgo, capacidad financiera, carteras y equilibrio).</w:t>
      </w:r>
    </w:p>
    <w:p>
      <w:pPr>
        <w:spacing w:after="120" w:line="300"/>
      </w:pPr>
      <w:r>
        <w:t>Los montos se declaran en dólares de hoy y se llevan al año t con el índice (1 + inflación)^(t − 1). Los montos en colones se dividen entre el tipo de cambio (F6).</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Pensión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con inflación general hasta el primer pago y con inflación de pensión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del ROP</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 Ingresos extraordinarios · M Traslados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 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 + M</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 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índice; en el retiro × porcentaje (P7)</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(P8)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 Q + R + 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 − V</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X Superávit invertido · Y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 Inmuebles · AA Empresa · AB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 + AA + AB</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AD Déficit</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MÍN(0, W)</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Metas · AF Primer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AD + AE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 rendimiento del perfil financiero (F12)</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−(AH + AI + Y + AC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 AI + Y + AC + AG + AJ</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 Real · AM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 (1 + inflación)^t · −AG / AH</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retira desde los 57 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en el año pedido por el cliente, o a los 57 si lo pidió antes.</w:t>
            </w:r>
          </w:p>
        </w:tc>
      </w:tr>
    </w:tbl>
    <w:p>
      <w:pPr>
        <w:spacing w:after="120" w:line="300"/>
      </w:pPr>
      <w:r>
        <w:t>r es el rendimiento anual de los fondos. La pensión del ROP entra como ingreso ordinario (columna J) y lo trasladado del FCL y la pensión voluntaria como ingreso extraordinario (columna M).</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w:t>
      </w:r>
      <w:r>
        <w:t>el menor rendimiento anual con el que el plan alcanza. Se compara con el rendimiento del perfil financiero y se ubica en la frontera de las cinco carteras para indicar qué perfil sería necesario.</w:t>
      </w:r>
    </w:p>
    <w:p>
      <w:pPr>
        <w:spacing w:after="120" w:line="300"/>
      </w:pPr>
      <w:r>
        <w:rPr>
          <w:b/>
          <w:bCs/>
        </w:rPr>
        <w:t>Edad a la que se agota: primera edad con gasto no cubierto. Portafolio mínimo requerido: el menor capital inicial con el que, al rendimiento del perfil financiero,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r/>
    </w:p>
    <w:p>
      <w:pPr>
        <w:pStyle w:val="Heading2"/>
      </w:pPr>
      <w:r>
        <w:t>2.6 Supuestos del analista</w:t>
      </w:r>
    </w:p>
    <w:p>
      <w:pPr>
        <w:spacing w:after="120" w:line="300"/>
      </w:pPr>
      <w:r>
        <w:t>Se fijan para cada cliente antes de calcular su proyección; los valores de la firma son el punto de partida. Un supuesto puede marcarse N/A solo si ninguna respuesta del cliente lo usa; por ejemplo, el ajuste de alquileres de un cliente sin inmuebles alquilados. Si el cliente respondió la pregunta que lo alimenta, el supuesto es obligatorio y la casilla N/A queda bloqueada. En el Excel y en la ficha, el supuesto aparece como 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gasto, salario y montos en dólares de hoy; deflacta a términos reales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después del primer pago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ingresos, salud y ajuste de alquileres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 · 8% · 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Referenciales; no entran a las fórmulas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F12)</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2026-10-16T21:55:02.570Z</dcterms:modified>
</cp:coreProperties>
</file>

<file path=docProps/custom.xml><?xml version="1.0" encoding="utf-8"?>
<Properties xmlns="http://schemas.openxmlformats.org/officeDocument/2006/custom-properties" xmlns:vt="http://schemas.openxmlformats.org/officeDocument/2006/docPropsVTypes"/>
</file>