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1.13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B4:G21</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Son exactamente los valores del asesor y del cliente; un supuesto que no aplica aparece como N/A y no entra a ninguna fórmula. B25 (año inicial) y C25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H4:O16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K monto declarado · L moneda · M monto en US$ · N desde el período · O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Q4:W17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T monto declarado · U moneda · V monto en US$ · W hasta el período. Fila 7 gasto familiar mensual · 8 gasto en el retiro (enlace a F18) · 9 gastos de dependientes · 10 donaciones al año · 11 cuota de la hipoteca (W11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Y4:AD12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AD7 capital inicial del portafolio · AD8 rendimiento esperado (F13) · AD10 a AD12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AF4:AN15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(AI7 a AI11), resultado (AI13 herencia deseada, AI14 edad a la que se agota el portafolio, AI15 ¿alcanza el plan?) y portafolio (AN7 capital inicial · AN8 flujo neto · AN9 flujo neto de inversiones · AN10 rendimientos · AN11 gasto no cubierto · AN12 saldo final nominal · AN13 en dólares de hoy · AN14 gasto no cubierto en dólares de hoy · AN15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22 a 24 y desde la 25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Banda, bloque de cada grupo de columnas y nombre de cada columna; una fila por año desde la 25, toda con fórmulas</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M7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y deudas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metas pagadas con el portafolio · Y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total</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 AA + AF</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AH inicial · AI rendimiento = AH × F13 · AJ gasto no cubierto = MÁX(0; −(AH + AI + AG)) · AK final nominal = AH + AI + AG + AJ · AL en términos reales · AM tasa de retiro = MÁX(0; −AG) / AH</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AI).</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(O7).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K7:M7); O7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M7 × 12 × índice mientras el período sea ≤ O7.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(K8:M8); O8;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M8 × 12 × índice mientras el período sea ≤ O8,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(K9:O10);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M10 × 12 desde el período N10,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M9 × 12 × índice desde el período N9 hasta el período O9. Si el cliente no conoce el monto de la pensión, lo estima el asesor; mientras tanto no entra en la proyección. Si ya la recibe, N10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M15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(T7:V7);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V7 × 12 × índice; desde la independencia, × F18. No incluye la cuota de la hipoteca, donaciones ni gastos de dependientes, que se preguntan después; las cuotas de deudas, según lo que responda en la pregunta 11. El porcentaje en dólares es informativo (exposición al tipo de cambio).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V9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(T10:V10)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V10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V12;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(V11, W11).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V14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(AB7:AD7)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AH25 = AD7.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(T11:W11);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 propia y su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total en AD11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AD12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del portafolio distinto de las metas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«Metas pagadas con el portafolio»: monto, moneda y año; total en V15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 monto × índice en el año de cada meta pagada con el portafolio: es un gasto extraordinario. Las financiadas con crédito no entran.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AI13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(AN13) no cubre la herencia, el plan no alcanza (AI15).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19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18, 21, 22, 23 y 24. Quedan en la hoja Cliente; la 16 entra al patrimonio total y la 18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2026-10-22T10:31:44.934Z</dcterms:created>
  <dcterms:modified xsi:type="dcterms:W3CDTF">2026-10-22T10:31:44.935Z</dcterms:modified>
</cp:coreProperties>
</file>

<file path=docProps/custom.xml><?xml version="1.0" encoding="utf-8"?>
<Properties xmlns="http://schemas.openxmlformats.org/officeDocument/2006/custom-properties" xmlns:vt="http://schemas.openxmlformats.org/officeDocument/2006/docPropsVTypes"/>
</file>