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1.23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B4:G24</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 F24 meses de la proyección en el primer año (de 1 a 12, según la fecha del cuestionario).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27 a 29 y desde la 30</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30,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 · metas financiadas con crédito (año de la meta, plazo, tasa y cuota anual = PAGO sobre el monto de la meta en su año, en la columna K)</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deudas y créditos de metas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AG30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Empresas propias: cantidad y, por cada una, nombre, participación, valor estimado, plan de venta o traspaso y destino de la venta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(una fila por empresa que se vende y se invierte aquí); hoja «Inversiones», otras inversiones (una fila por empresa);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de cada empresa. Todas las empresas entran al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 si el tipo es «Otra», el nombre de la meta; si se financia con crédito, la tasa y el plazo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«Metas pagadas con el portafolio» (monto, moneda y año; total en W15) y «Metas financiadas con crédito» (año, plazo, tasa y cuota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U suma la cuota anual de cada meta financiada con crédito: PAGO(tasa; plazo; −monto × índice del año de la meta), desde el año de la meta y durante el plazo.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adicional del portafolio, distinto de las metas de la pregunta 18</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 que posee y si este portafolio está en alguna de ellas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estructuras, las que contienen este portafolio y las que mantiene fuera de él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 identifica dónde se encuentra el portafolio.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18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19, 21, 22, 23 y 24. Quedan en la hoja Cliente; la 16 entra al patrimonio total y la 19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Ingresos y gastos por moneda: </w:t>
      </w:r>
      <w:r>
        <w:t xml:space="preserve">cada monto se presenta en la moneda en que el cliente lo declaró: columna de colones (monto en colones), columna de colones en US$ (los mismos colones divididos entre el tipo de cambio F7) y columna de dólares. El gasto familiar se reparte con el porcentaje en dólares de la pregunta 7 (F22). Se separan los ingresos y gastos recurrentes (al año) de los montos puntuales del horizonte: ingresos extraordinarios (pregunta 6), ventas de activos (preguntas 14, 15 y 17), gastos de una vez (pregunta 12) y metas (pregunta 18); las cuotas de las metas financiadas con crédito van con los gastos recurrentes.</w:t>
      </w:r>
    </w:p>
    <w:p>
      <w:pPr>
        <w:pStyle w:val="ListParagraph"/>
        <w:numPr>
          <w:ilvl w:val="0"/>
          <w:numId w:val="2"/>
        </w:numPr>
        <w:spacing w:after="60" w:line="290"/>
      </w:pPr>
      <w:r>
        <w:rPr>
          <w:b/>
          <w:bCs/>
        </w:rPr>
        <w:t xml:space="preserve">Primer año de la proyección: </w:t>
      </w:r>
      <w:r>
        <w:t xml:space="preserve">la proyección parte de la fecha en que el cliente llenó el cuestionario. Si lo llenó en el año de inicio, el primer año solo cuenta los meses que faltan, incluido el mes en curso: F24 = 13 − mes del cuestionario (octubre: octubre, noviembre y diciembre, 3 meses). En la primera fila de la proyección (fila 30), los montos recurrentes se multiplican por F24/12: ingresos (actividad, pareja, otros ingresos, alquileres y pensiones), gasto familiar, gastos de dependientes, donaciones, cuotas, gastos extraordinarios de cada año y el rendimiento del portafolio; en la hoja «Fondos de pensión», los aportes, el rendimiento y la pensión del primer año. Ejemplo: un gasto de dependientes de US$120 000 al año que empieza en 2026, con el cuestionario de octubre de 2026, suma US$30 000 en 2026 (120 000 / 12 × 3) y el monto completo desde 2027. Los montos puntuales (ingresos extraordinarios, ventas, gastos de una vez y metas) van completos en su año. La pensión que empieza en el primer año toma el menor entre los meses después del cumpleaños y los meses que faltan. Los términos reales descuentan la inflación del tiempo transcurrido: (1 + F9)^(período − 1 + F24/12). Si el cuestionario es de un año anterior al de inicio, F24 = 12.</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con portada e introducción y, después,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2026-10-27T21:35:37.287Z</dcterms:created>
  <dcterms:modified xsi:type="dcterms:W3CDTF">2026-10-28T22:40:00Z</dcterms:modified>
</cp:coreProperties>
</file>

<file path=docProps/custom.xml><?xml version="1.0" encoding="utf-8"?>
<Properties xmlns="http://schemas.openxmlformats.org/officeDocument/2006/custom-properties" xmlns:vt="http://schemas.openxmlformats.org/officeDocument/2006/docPropsVTypes"/>
</file>