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5.23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mínimo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 Esos topes son el punto de partida: como cada cliente tiene sus particularidades, el asesor puede cambiar, en los supuestos de un cliente, los topes y el porcentaje específico de su perfil. Ese cambio solo afecta a ese cliente, queda guardado con sus supuestos y la ficha y el Excel indican que los topes son propios del cliente. Al abrir los supuestos de un cliente, el dashboard muestra primero la conclusión de su perfil de riesgo (perfil, puntaje, tolerancia y apetito), sus topes, la cartera sugerida y su rendimiento esperado.</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Empresas y capital privado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y sin la vivienda principal, cuyo valor no se pide.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mínimo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mínimo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mínimo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Escenarios. El dashboard (página 2) y la presentación comparan el plan actual con la independencia financiera hoy y dentro de 10, 15 y 20 años (solo las edades dentro del horizonte), con todo lo demás igual: el ingreso por actividad que terminaba con la independencia termina a la nueva edad y el gasto del retiro empieza en ella; el ingreso que el cliente declaró más allá de su independencia (por ejemplo, de su empresa) no cambia. Para cada escenario se muestran el portafolio al retiro (dólares nominales), el saldo final en dólares de hoy, la edad a la que se agota, su rendimiento de equilibrio y si alcanza, con un gráfico del portafolio en dólares de hoy por edad. Si el cliente ya es independiente, solo se muestra el plan actual. Al lado se comparan tres rendimientos: el que cubre los gastos hasta el final del horizonte sin dejar herencia, el de equilibrio (cubre los gastos y deja la herencia deseada, si se invierte hoy) y el de la cartera sugerida. Los dos primeros se calculan por búsqueda binaria entre 0% y 30% sobre la misma proyección.</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2026-10-28T22:40:00Z</dcterms:modified>
</cp:coreProperties>
</file>

<file path=docProps/custom.xml><?xml version="1.0" encoding="utf-8"?>
<Properties xmlns="http://schemas.openxmlformats.org/officeDocument/2006/custom-properties" xmlns:vt="http://schemas.openxmlformats.org/officeDocument/2006/docPropsVTypes"/>
</file>