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918042"/>
          <w:spacing w:val="40"/>
          <w:sz w:val="22"/>
          <w:szCs w:val="22"/>
        </w:rPr>
        <w:t xml:space="preserve">CHOTOCRUZ &amp; CO.</w:t>
      </w:r>
    </w:p>
    <w:p>
      <w:pPr>
        <w:spacing w:after="200"/>
      </w:pPr>
      <w:r>
        <w:rPr>
          <w:b/>
          <w:bCs/>
          <w:color w:val="2B3014"/>
          <w:sz w:val="44"/>
          <w:szCs w:val="44"/>
        </w:rPr>
        <w:t xml:space="preserve">Metodología del sistema de perfil de riesgo y planificación financiera</w:t>
      </w:r>
    </w:p>
    <w:p>
      <w:pPr>
        <w:pBdr>
          <w:bottom w:val="single" w:color="918042" w:sz="12" w:space="8"/>
        </w:pBdr>
        <w:spacing w:after="600"/>
      </w:pPr>
      <w:r>
        <w:rPr>
          <w:color w:val="5A5E44"/>
          <w:sz w:val="26"/>
          <w:szCs w:val="26"/>
        </w:rPr>
        <w:t xml:space="preserve">Perfil de riesgo, proyección del portafolio, rendimiento de equilibrio y cartera de equilibrio</w:t>
      </w:r>
    </w:p>
    <w:p>
      <w:pPr>
        <w:spacing w:after="120" w:line="300"/>
      </w:pPr>
      <w:r>
        <w:rPr>
          <w:b/>
          <w:bCs/>
        </w:rPr>
        <w:t xml:space="preserve">Área: </w:t>
      </w:r>
      <w:r>
        <w:t xml:space="preserve">Datos y Analítica</w:t>
      </w:r>
    </w:p>
    <w:p>
      <w:pPr>
        <w:spacing w:after="120" w:line="300"/>
      </w:pPr>
      <w:r>
        <w:rPr>
          <w:b/>
          <w:bCs/>
        </w:rPr>
        <w:t xml:space="preserve">Versión: </w:t>
      </w:r>
      <w:r>
        <w:t xml:space="preserve">2.1 · octubre de 2026</w:t>
      </w:r>
    </w:p>
    <w:p>
      <w:pPr>
        <w:spacing w:after="120" w:line="300"/>
      </w:pPr>
      <w:r>
        <w:rPr>
          <w:b/>
          <w:bCs/>
        </w:rPr>
        <w:t xml:space="preserve">Clasificación: </w:t>
      </w:r>
      <w:r>
        <w:t xml:space="preserve">Documento interno</w:t>
      </w:r>
    </w:p>
    <w:p>
      <w:pPr>
        <w:spacing w:after="120" w:line="300"/>
      </w:pPr>
      <w:r>
        <w:rPr>
          <w:b/>
          <w:bCs/>
        </w:rPr>
        <w:t xml:space="preserve">Alcance: </w:t>
      </w:r>
      <w:r>
        <w:t xml:space="preserve">Cuestionarios de familias y personas, y de instituciones, panel del asesor, plantillas de Excel, ficha PDF y archivo consolidado para Power BI.</w:t>
      </w:r>
    </w:p>
    <w:p>
      <w:r>
        <w:br w:type="page"/>
      </w:r>
    </w:p>
    <w:p>
      <w:pPr>
        <w:spacing w:after="200"/>
      </w:pPr>
      <w:r>
        <w:rPr>
          <w:b/>
          <w:bCs/>
          <w:color w:val="2B3014"/>
          <w:sz w:val="30"/>
          <w:szCs w:val="30"/>
        </w:rPr>
        <w:t xml:space="preserve">Contenido</w:t>
      </w:r>
    </w:p>
    <w:p>
      <w:pPr>
        <w:spacing w:after="100"/>
      </w:pPr>
      <w:r>
        <w:rPr>
          <w:sz w:val="22"/>
          <w:szCs w:val="22"/>
        </w:rPr>
        <w:t xml:space="preserve">1. Propósito y alcance</w:t>
      </w:r>
    </w:p>
    <w:p>
      <w:pPr>
        <w:spacing w:after="100"/>
      </w:pPr>
      <w:r>
        <w:rPr>
          <w:sz w:val="22"/>
          <w:szCs w:val="22"/>
        </w:rPr>
        <w:t xml:space="preserve">2. Arquitectura del proceso</w:t>
      </w:r>
    </w:p>
    <w:p>
      <w:pPr>
        <w:spacing w:after="100"/>
      </w:pPr>
      <w:r>
        <w:rPr>
          <w:sz w:val="22"/>
          <w:szCs w:val="22"/>
        </w:rPr>
        <w:t xml:space="preserve">3. Fuentes de datos</w:t>
      </w:r>
    </w:p>
    <w:p>
      <w:pPr>
        <w:spacing w:after="100"/>
      </w:pPr>
      <w:r>
        <w:rPr>
          <w:sz w:val="22"/>
          <w:szCs w:val="22"/>
        </w:rPr>
        <w:t xml:space="preserve">4. Perfil de riesgo</w:t>
      </w:r>
    </w:p>
    <w:p>
      <w:pPr>
        <w:spacing w:after="100"/>
      </w:pPr>
      <w:r>
        <w:rPr>
          <w:sz w:val="22"/>
          <w:szCs w:val="22"/>
        </w:rPr>
        <w:t xml:space="preserve">5. Carteras modelo</w:t>
      </w:r>
    </w:p>
    <w:p>
      <w:pPr>
        <w:spacing w:after="100"/>
      </w:pPr>
      <w:r>
        <w:rPr>
          <w:sz w:val="22"/>
          <w:szCs w:val="22"/>
        </w:rPr>
        <w:t xml:space="preserve">6. Supuestos del asesor</w:t>
      </w:r>
    </w:p>
    <w:p>
      <w:pPr>
        <w:spacing w:after="100"/>
      </w:pPr>
      <w:r>
        <w:rPr>
          <w:sz w:val="22"/>
          <w:szCs w:val="22"/>
        </w:rPr>
        <w:t xml:space="preserve">7. Proyección de familias y personas</w:t>
      </w:r>
    </w:p>
    <w:p>
      <w:pPr>
        <w:spacing w:after="100"/>
      </w:pPr>
      <w:r>
        <w:rPr>
          <w:sz w:val="22"/>
          <w:szCs w:val="22"/>
        </w:rPr>
        <w:t xml:space="preserve">8. Proyección institucional</w:t>
      </w:r>
    </w:p>
    <w:p>
      <w:pPr>
        <w:spacing w:after="100"/>
      </w:pPr>
      <w:r>
        <w:rPr>
          <w:sz w:val="22"/>
          <w:szCs w:val="22"/>
        </w:rPr>
        <w:t xml:space="preserve">9. Rendimiento de equilibrio</w:t>
      </w:r>
    </w:p>
    <w:p>
      <w:pPr>
        <w:spacing w:after="100"/>
      </w:pPr>
      <w:r>
        <w:rPr>
          <w:sz w:val="22"/>
          <w:szCs w:val="22"/>
        </w:rPr>
        <w:t xml:space="preserve">10. Cartera de equilibrio</w:t>
      </w:r>
    </w:p>
    <w:p>
      <w:pPr>
        <w:spacing w:after="100"/>
      </w:pPr>
      <w:r>
        <w:rPr>
          <w:sz w:val="22"/>
          <w:szCs w:val="22"/>
        </w:rPr>
        <w:t xml:space="preserve">11. Productos de salida</w:t>
      </w:r>
    </w:p>
    <w:p>
      <w:pPr>
        <w:spacing w:after="100"/>
      </w:pPr>
      <w:r>
        <w:rPr>
          <w:sz w:val="22"/>
          <w:szCs w:val="22"/>
        </w:rPr>
        <w:t xml:space="preserve">12. Cambios metodológicos respecto del Excel de referencia</w:t>
      </w:r>
    </w:p>
    <w:p>
      <w:pPr>
        <w:spacing w:after="100"/>
      </w:pPr>
      <w:r>
        <w:rPr>
          <w:sz w:val="22"/>
          <w:szCs w:val="22"/>
        </w:rPr>
        <w:t xml:space="preserve">13. Validación y auditoría</w:t>
      </w:r>
    </w:p>
    <w:p>
      <w:pPr>
        <w:spacing w:after="100"/>
      </w:pPr>
      <w:r>
        <w:rPr>
          <w:sz w:val="22"/>
          <w:szCs w:val="22"/>
        </w:rPr>
        <w:t xml:space="preserve">14. Limitaciones y puntos abiertos</w:t>
      </w:r>
    </w:p>
    <w:p>
      <w:pPr>
        <w:spacing w:after="100"/>
      </w:pPr>
      <w:r>
        <w:rPr>
          <w:sz w:val="22"/>
          <w:szCs w:val="22"/>
        </w:rPr>
        <w:t xml:space="preserve">15. Fundamentos y validación de la metodología del perfil</w:t>
      </w:r>
    </w:p>
    <w:p>
      <w:pPr>
        <w:spacing w:after="100"/>
      </w:pPr>
      <w:r>
        <w:rPr>
          <w:sz w:val="22"/>
          <w:szCs w:val="22"/>
        </w:rPr>
        <w:t xml:space="preserve">16. Bibliografía</w:t>
      </w:r>
    </w:p>
    <w:p>
      <w:r>
        <w:br w:type="page"/>
      </w:r>
    </w:p>
    <w:p>
      <w:pPr>
        <w:pStyle w:val="Heading1"/>
      </w:pPr>
      <w:r>
        <w:t xml:space="preserve">1. Propósito y alcance</w:t>
      </w:r>
    </w:p>
    <w:p>
      <w:pPr>
        <w:spacing w:after="120" w:line="300"/>
      </w:pPr>
      <w:r>
        <w:t xml:space="preserve">Este documento describe cómo el sistema obtiene los datos del cliente, cómo calcula su perfil de riesgo, cómo proyecta su portafolio y cómo determina el rendimiento y la cartera de equilibrio. Para cada resultado se indica de qué pregunta del cuestionario o de qué supuesto proviene, y con qué fórmula se calcula, tanto en el panel del asesor como en el Excel.</w:t>
      </w:r>
    </w:p>
    <w:p>
      <w:pPr>
        <w:spacing w:after="120" w:line="300"/>
      </w:pPr>
      <w:r>
        <w:t xml:space="preserve">La proyección de familias y personas replica la hoja «Escenario X%» del Excel de referencia (Plan financiero – Escenarios, caso Esteban Zeledón). Las diferencias respecto de ese Excel son deliberadas y se documentan en la sección 12.</w:t>
      </w:r>
    </w:p>
    <w:p>
      <w:pPr>
        <w:spacing w:after="120" w:line="300"/>
      </w:pPr>
      <w:r>
        <w:t xml:space="preserve">El sistema no emite recomendaciones de inversión. Sus resultados son estimaciones bajo los supuestos señalados y sirven de insumo para el análisis del asesor.</w:t>
      </w:r>
    </w:p>
    <w:p>
      <w:pPr>
        <w:pStyle w:val="Heading1"/>
      </w:pPr>
      <w:r>
        <w:t xml:space="preserve">2. Arquitectura del proceso</w:t>
      </w:r>
    </w:p>
    <w:p>
      <w:pPr>
        <w:spacing w:after="120" w:line="300"/>
      </w:pPr>
      <w:r>
        <w:t xml:space="preserve">Hay dos cuestionarios, cada uno con su propio enlace: uno para familias y personas (familias.html) y otro para instituciones (instituciones.html). Ambos abren con una portada (página 0) con el propósito del cuestionario, sus tres etapas y la duración aproximada. Luego siguen tres páginas, primero las preguntas y al final los datos de identificación:</w:t>
      </w:r>
    </w:p>
    <w:p>
      <w:pPr>
        <w:pStyle w:val="ListParagraph"/>
        <w:numPr>
          <w:ilvl w:val="0"/>
          <w:numId w:val="2"/>
        </w:numPr>
        <w:spacing w:after="60" w:line="290"/>
      </w:pPr>
      <w:r>
        <w:rPr>
          <w:b/>
          <w:bCs/>
        </w:rPr>
        <w:t xml:space="preserve">Página 1 (perfil de riesgo). </w:t>
      </w:r>
      <w:r>
        <w:t xml:space="preserve">Diez preguntas comunes a ambos cuestionarios: nueve de tolerancia y apetito, y una de conocimiento.</w:t>
      </w:r>
    </w:p>
    <w:p>
      <w:pPr>
        <w:pStyle w:val="ListParagraph"/>
        <w:numPr>
          <w:ilvl w:val="0"/>
          <w:numId w:val="2"/>
        </w:numPr>
        <w:spacing w:after="60" w:line="290"/>
      </w:pPr>
      <w:r>
        <w:rPr>
          <w:b/>
          <w:bCs/>
        </w:rPr>
        <w:t xml:space="preserve">Página 2 (planificación). </w:t>
      </w:r>
      <w:r>
        <w:t xml:space="preserve">Personas: 16 preguntas sobre hogar, ingresos, gastos, retiro, patrimonio, protección y metas. Instituciones: 13 preguntas sobre la institución, los datos de la proyección y la capacidad.</w:t>
      </w:r>
    </w:p>
    <w:p>
      <w:pPr>
        <w:pStyle w:val="ListParagraph"/>
        <w:numPr>
          <w:ilvl w:val="0"/>
          <w:numId w:val="2"/>
        </w:numPr>
        <w:spacing w:after="60" w:line="290"/>
      </w:pPr>
      <w:r>
        <w:rPr>
          <w:b/>
          <w:bCs/>
        </w:rPr>
        <w:t xml:space="preserve">Página 3 (identificación). </w:t>
      </w:r>
      <w:r>
        <w:t xml:space="preserve">Personas: nombre, apellidos, tipo de documento (cédula con formato 1-2345-6789, o pasaporte con su país emisor), fecha de nacimiento, ocupación, estado civil, teléfono con código de país, correo y residencia (país; en Costa Rica, provincia, cantón y distrito según la División Territorial Administrativa 2026, más otras señas). Instituciones: nombre, teléfono, correo y dirección.</w:t>
      </w:r>
    </w:p>
    <w:p>
      <w:pPr>
        <w:pStyle w:val="ListParagraph"/>
        <w:numPr>
          <w:ilvl w:val="0"/>
          <w:numId w:val="2"/>
        </w:numPr>
        <w:spacing w:after="60" w:line="290"/>
      </w:pPr>
      <w:r>
        <w:rPr>
          <w:b/>
          <w:bCs/>
        </w:rPr>
        <w:t xml:space="preserve">Panel del asesor. </w:t>
      </w:r>
      <w:r>
        <w:t xml:space="preserve">Un solo panel recibe los dos cuestionarios. El asesor fija los supuestos de mercado, revisa al cliente en la pestaña que corresponde (familias y personas, o instituciones) y genera el Excel, la ficha PDF y el consolidado CSV.</w:t>
      </w:r>
    </w:p>
    <w:p>
      <w:pPr>
        <w:spacing w:after="120" w:line="300"/>
      </w:pPr>
      <w:r>
        <w:t xml:space="preserve">Como la fecha de nacimiento se pide al final, la edad se calcula en la página 3. Si la edad de retiro indicada en la página 2 es igual o menor que la edad actual, el cuestionario avisa que la proyección considerará al cliente ya retirado.</w:t>
      </w:r>
    </w:p>
    <w:p>
      <w:pPr>
        <w:spacing w:after="120" w:line="300"/>
      </w:pPr>
      <w:r>
        <w:t xml:space="preserve">Mientras se responde, el avance se guarda en el navegador del dispositivo. Si el cliente cierra la página, al volver la portada le ofrece continuar donde lo dejó o empezar de nuevo. El avance se borra al enviar.</w:t>
      </w:r>
    </w:p>
    <w:p>
      <w:pPr>
        <w:spacing w:after="120" w:line="300"/>
      </w:pPr>
      <w:r>
        <w:t xml:space="preserve">Al enviar, el cuestionario guarda además cada pregunta de las páginas 1 y 2 con el texto que vio el cliente y la respuesta que eligió (campo respuestasTexto). El panel las muestra tal cual en la pestaña de respuestas.</w:t>
      </w:r>
    </w:p>
    <w:p>
      <w:pPr>
        <w:spacing w:after="120" w:line="300"/>
      </w:pPr>
      <w:r>
        <w:t xml:space="preserve">Las respuestas se guardan como un archivo JSON por cliente en la carpeta data/clientes del repositorio del proyecto piloto. El campo tipoCliente («persona» o «institucion») separa ambos tipos en el panel. En esta etapa piloto el repositorio es público y solo debe contener datos ficticios; la migración prevista a un servidor Azure resolverá el almacenamiento de datos personales.</w:t>
      </w:r>
    </w:p>
    <w:p>
      <w:pPr>
        <w:pStyle w:val="Heading1"/>
      </w:pPr>
      <w:r>
        <w:t xml:space="preserve">3. Fuentes de datos</w:t>
      </w:r>
    </w:p>
    <w:p>
      <w:pPr>
        <w:spacing w:after="120" w:line="300"/>
      </w:pPr>
      <w:r>
        <w:t xml:space="preserve">Las siguientes tablas indican, para cada dato que interviene en un cálculo, de dónde proviene y para qué se usa.</w:t>
      </w:r>
    </w:p>
    <w:p>
      <w:pPr>
        <w:pStyle w:val="Heading2"/>
      </w:pPr>
      <w:r>
        <w:t xml:space="preserve">3.1 Familias y 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Fecha de nacimiento (página 3). Se recalcula al abrir el registro.</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Primera fila de la proyección; horizonte de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independencia financiera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 edad desde la cual el cliente ya no necesita trabajar</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Inicio de la fase de retiro; fin de los aportes; traslado de los fondos;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Dependientes: hijos (con sus edades), pareja, padres, hermanos, tíos, abuelos y otros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(número total de dependientes); el aporte mensual a dependientes que no son hijos es 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Apoyos a dependientes: beneficiario, motivo, monto anual, año de inicio y años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 (hasta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del portafolio indexadas con la inflación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y su predictibilidad</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Salario del Excel; aporte estimado a ROP y FCL;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mensual y gasto esperado en el retiro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y retiro anual en el retiro (factor de 80%, 100% o 110%)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régimen y monto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anual durante el retiro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Otros ingresos en el retiro (monto mensual y moneda)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anual durante el retiro, indexado con la inflación general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FCL y pensión voluntaria: saldo, aporte mensual y traslado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«Fondos de pensión»: acumulación con aportes y rendimiento, y traslado al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inicial, aporte anual y aportes extraordinarios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aportes durante la acumulación y entradas puntuales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el patrimonio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(escala lineal 0 a 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retiro del portafolio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genera un aviso si ocurre más de 5 años antes de la independencia financiera. No entra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específicas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del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Destino del patrimonio y herencia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 y criterio de «¿alcanza el plan?»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 dólares y colones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17: 100/0, 75/25, 50/50, 25/75 o 0/100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se registra el porcentaje en dólares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Conocimiento y experiencia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1,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Forma parte de la disposición; se informa como dimensión del puntaje (sección 4.7)</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Pareja, vivienda, inmuebles, empresa, deudas, reserva, seguros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2 y 11 a 14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se registran en la primera pestaña del Excel; no entran en la proyección</w:t>
            </w:r>
          </w:p>
        </w:tc>
      </w:tr>
    </w:tbl>
    <w:p>
      <w:pPr>
        <w:spacing w:after="80"/>
      </w:pPr>
    </w:p>
    <w:p>
      <w:pPr>
        <w:pStyle w:val="Heading2"/>
      </w:pPr>
      <w:r>
        <w:t xml:space="preserve">3.2 Instituciones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institución y objetivo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1 y 2</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del año 1</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 (1 a 60 años)</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Número de años proyectados;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y retiro anual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5 y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Flujos anuales indexados a la inflación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extraordinarios (hasta 3)</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en el año indicado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final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los activos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Política o regulación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11</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bl>
    <w:p>
      <w:pPr>
        <w:spacing w:after="80"/>
      </w:pPr>
    </w:p>
    <w:p>
      <w:pPr>
        <w:spacing w:after="120" w:line="300"/>
      </w:pPr>
      <w:r>
        <w:rPr>
          <w:b/>
          <w:bCs/>
        </w:rPr>
        <w:t xml:space="preserve">Conversión de moneda. </w:t>
      </w:r>
      <w:r>
        <w:t xml:space="preserve">Los montos declarados en colones se convierten a dólares con el tipo de cambio de los supuestos. Los montos que el cuestionario pide «en dólares de hoy» (ROP, FCL, metas, herencia, capital mínimo, retiros extraordinarios) se expresan en poder adquisitivo actual y la proyección los indexa con la inflación hasta el año en que ocurren.</w:t>
      </w:r>
    </w:p>
    <w:p>
      <w:pPr>
        <w:pStyle w:val="Heading1"/>
      </w:pPr>
      <w:r>
        <w:t xml:space="preserve">4. Perfil de riesgo</w:t>
      </w:r>
    </w:p>
    <w:p>
      <w:pPr>
        <w:spacing w:after="120" w:line="300"/>
      </w:pPr>
      <w:r>
        <w:t xml:space="preserve">Esta sección corresponde a la metodología v2 del perfil de riesgo, aprobada en octubre de 2026. Reemplaza el esquema anterior: puntajes 0·3·7·10 asignados a criterio, pesos iguales y cortes en 4 y 7. La sección 15 resume el diagnóstico que motivó el cambio y la validación de la nueva metodología.</w:t>
      </w:r>
    </w:p>
    <w:p>
      <w:pPr>
        <w:pStyle w:val="Heading2"/>
      </w:pPr>
      <w:r>
        <w:t xml:space="preserve">4.1 Marco conceptual</w:t>
      </w:r>
    </w:p>
    <w:p>
      <w:pPr>
        <w:spacing w:after="120" w:line="300"/>
      </w:pPr>
      <w:r>
        <w:t xml:space="preserve">La literatura y la regulación de idoneidad distinguen dos dimensiones que no deben promediarse entre sí: la disposición a asumir riesgo y la capacidad de soportar pérdidas. Maginn, Tuttle, Pinto y McLeavey (2007) proponen que, cuando difieren, rija la menor de las dos. La guía FG11/05 de la autoridad financiera del Reino Unido (FSA, 2011) y las directrices de idoneidad de ESMA (2018) exigen medir ambas y validar la coherencia de las respuestas. El sistema mide tres componentes:</w:t>
      </w:r>
    </w:p>
    <w:p>
      <w:pPr>
        <w:pStyle w:val="ListParagraph"/>
        <w:numPr>
          <w:ilvl w:val="0"/>
          <w:numId w:val="2"/>
        </w:numPr>
        <w:spacing w:after="60" w:line="290"/>
      </w:pPr>
      <w:r>
        <w:rPr>
          <w:b/>
          <w:bCs/>
        </w:rPr>
        <w:t xml:space="preserve">Disposición al riesgo. </w:t>
      </w:r>
      <w:r>
        <w:t xml:space="preserve">Las diez preguntas de la página 1. Se informa en dos subescalas: tolerancia (cómo reacciona el cliente ante la pérdida y la incertidumbre) y apetito (cuánto riesgo busca a cambio de rendimiento). El perfil se define con la disposición total.</w:t>
      </w:r>
    </w:p>
    <w:p>
      <w:pPr>
        <w:pStyle w:val="ListParagraph"/>
        <w:numPr>
          <w:ilvl w:val="0"/>
          <w:numId w:val="2"/>
        </w:numPr>
        <w:spacing w:after="60" w:line="290"/>
      </w:pPr>
      <w:r>
        <w:rPr>
          <w:b/>
          <w:bCs/>
        </w:rPr>
        <w:t xml:space="preserve">Capacidad financiera. </w:t>
      </w:r>
      <w:r>
        <w:t xml:space="preserve">Datos objetivos de la planificación: horizonte, estabilidad del ingreso, dependientes y peso del portafolio en el patrimonio.</w:t>
      </w:r>
    </w:p>
    <w:p>
      <w:pPr>
        <w:pStyle w:val="ListParagraph"/>
        <w:numPr>
          <w:ilvl w:val="0"/>
          <w:numId w:val="2"/>
        </w:numPr>
        <w:spacing w:after="60" w:line="290"/>
      </w:pPr>
      <w:r>
        <w:rPr>
          <w:b/>
          <w:bCs/>
        </w:rPr>
        <w:t xml:space="preserve">Conocimiento y experiencia. </w:t>
      </w:r>
      <w:r>
        <w:t xml:space="preserve">Una pregunta de la página 2, exigida como criterio de idoneidad por ESMA (2018).</w:t>
      </w:r>
    </w:p>
    <w:p>
      <w:pPr>
        <w:spacing w:after="120" w:line="300"/>
      </w:pPr>
      <w:r>
        <w:t xml:space="preserve">La capacidad y el conocimiento solo pueden bajar el perfil, nunca subirlo.</w:t>
      </w:r>
    </w:p>
    <w:p>
      <w:pPr>
        <w:pStyle w:val="Heading2"/>
      </w:pPr>
      <w:r>
        <w:t xml:space="preserve">4.2 Reactivos de la página 1</w:t>
      </w:r>
    </w:p>
    <w:p>
      <w:pPr>
        <w:spacing w:after="120" w:line="300"/>
      </w:pPr>
      <w:r>
        <w:t xml:space="preserve">El número entre paréntesis es la posición de la pregunta en el cuestionario. La columna «Tipo» determina el peso (sección 4.4).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100"/>
        <w:gridCol w:w="4126"/>
      </w:tblGrid>
      <w:tr>
        <w:trPr>
          <w:tblHeader/>
        </w:trPr>
        <w:tc>
          <w:tcPr>
            <w:tcW w:type="dxa" w:w="2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Subescala</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Tipo</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Respuestas en orden de riesgo creciente</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Q1 (1). Asociación con la palabra «riesgo»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Pérdida · Preocupación · Incertidumbre · Oportunidad</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Q5 (2). Decisión con información incompleta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Espera más información · Segunda opinión · Decide y revisa · Decide con rapidez</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Q2 (3). Frecuencia de revisión del portafolio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Varias veces por semana · Semanal · Mensual · Cada tres meses o menos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Q3 (4). Perder 20% frente a dejar de ganar 20%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Perder · Ambas por igual · Dejar de ganar</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Q6 (5). Rendimiento esperado y pérdida aceptable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5%–5,5% y −5% · 6%–6,5% y −7% · 7%–7,5% y −9% · 8%–8,5% y −12% · 9%–9,5% y −16%</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Q7 (6). Depender de los aportes o del riesgo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Más aportes y riesgo bajo · Algo más de aporte · Aportes previstos y más riesgo · Depender del rendimiento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Q4 (7). Qué hizo ante una pérdida importante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Vendió · Redujo · Mantuvo · Aumentó · No aplica (sale del cálculo)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Q8 (8). Destino del excedente de un año bueno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Liquidez · Deuda · Distribuye · Reinvierte · Nuevas oportunidades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(9). Qué hace después de un año malo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Reduce exposición · Ajusta · Mantiene · Rebalancea · Aumenta exposición</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Q10 (10). Alternativa única de inversión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Certificado de depósito · Bonos · Inmobiliaria · Acciones globales</w:t>
            </w:r>
          </w:p>
        </w:tc>
      </w:tr>
    </w:tbl>
    <w:p>
      <w:pPr>
        <w:spacing w:after="80"/>
      </w:pPr>
    </w:p>
    <w:p>
      <w:pPr>
        <w:pStyle w:val="Heading2"/>
      </w:pPr>
      <w:r>
        <w:t xml:space="preserve">4.3 Puntuación de las respuestas</w:t>
      </w:r>
    </w:p>
    <w:p>
      <w:pPr>
        <w:spacing w:after="120" w:line="300"/>
      </w:pPr>
      <w:r>
        <w:t xml:space="preserve">Cada respuesta recibe un puntaje en una escala lineal de 0 a 10, según su posición en el orden de riesgo creciente:</w:t>
      </w:r>
    </w:p>
    <w:p>
      <w:pPr>
        <w:shd w:fill="F4F5EE" w:color="auto" w:val="clear"/>
        <w:spacing w:after="120" w:before="60"/>
        <w:ind w:left="360"/>
      </w:pPr>
      <w:r>
        <w:rPr>
          <w:rFonts w:ascii="Consolas" w:cs="Consolas" w:eastAsia="Consolas" w:hAnsi="Consolas"/>
          <w:color w:val="2B3014"/>
          <w:sz w:val="19"/>
          <w:szCs w:val="19"/>
        </w:rPr>
        <w:t xml:space="preserve">Puntaje = posición / (número de opciones − 1) × 10        (posición 0 = menor riesgo)</w:t>
      </w:r>
    </w:p>
    <w:p>
      <w:pPr>
        <w:spacing w:after="120" w:line="300"/>
      </w:pPr>
      <w:r>
        <w:t xml:space="preserve">Así, las preguntas de cuatro opciones puntúan 0 · 3,33 · 6,67 · 10, y las de cinco, 0 · 2,5 · 5 · 7,5 · 10. La pregunta 4 tiene tres opciones y puntúa 0 · 5 · 10, con «Ambas por igual» en el centro aunque se muestre en tercer lugar. Fundamentos:</w:t>
      </w:r>
    </w:p>
    <w:p>
      <w:pPr>
        <w:pStyle w:val="ListParagraph"/>
        <w:numPr>
          <w:ilvl w:val="0"/>
          <w:numId w:val="2"/>
        </w:numPr>
        <w:spacing w:after="60" w:line="290"/>
      </w:pPr>
      <w:r>
        <w:t xml:space="preserve">Las respuestas son ordinales. Sin datos que indiquen otra distancia entre opciones, el supuesto estándar es de intervalos iguales; es la convención de las escalas tipo Likert y de la escala de Grable y Lytton (1999), que puntúa cada respuesta de 1 a 4 y suma los puntos (Kuzniak et al., 2015).</w:t>
      </w:r>
    </w:p>
    <w:p>
      <w:pPr>
        <w:pStyle w:val="ListParagraph"/>
        <w:numPr>
          <w:ilvl w:val="0"/>
          <w:numId w:val="2"/>
        </w:numPr>
        <w:spacing w:after="60" w:line="290"/>
      </w:pPr>
      <w:r>
        <w:t xml:space="preserve">Evita puntajes elegidos a mano. La FSA (2011, secciones 1.8 y 3.18) identificó la puntuación sobresensible y los pesos inapropiados como causa de que una sola respuesta cambie la categoría del cliente.</w:t>
      </w:r>
    </w:p>
    <w:p>
      <w:pPr>
        <w:pStyle w:val="ListParagraph"/>
        <w:numPr>
          <w:ilvl w:val="0"/>
          <w:numId w:val="2"/>
        </w:numPr>
        <w:spacing w:after="60" w:line="290"/>
      </w:pPr>
      <w:r>
        <w:t xml:space="preserve">Pone todas las preguntas en la misma escala, condición necesaria para ponderarlas de forma explícita.</w:t>
      </w:r>
    </w:p>
    <w:p>
      <w:pPr>
        <w:spacing w:after="120" w:line="300"/>
      </w:pPr>
      <w:r>
        <w:t xml:space="preserve">La respuesta «No aplica» de la pregunta 7 no recibe un puntaje inventado: sale del cálculo y los pesos de las demás se reescalan.</w:t>
      </w:r>
    </w:p>
    <w:p>
      <w:pPr>
        <w:pStyle w:val="Heading2"/>
      </w:pPr>
      <w:r>
        <w:t xml:space="preserve">4.4 Ponderación de las preguntas</w:t>
      </w:r>
    </w:p>
    <w:p>
      <w:pPr>
        <w:spacing w:after="120" w:line="300"/>
      </w:pPr>
      <w:r>
        <w:t xml:space="preserve">Las preguntas de conducta revelada o de decisión concreta con pérdidas y rendimientos explícitos pesan 2. Las de percepción o actitud general pesan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0"/>
        <w:gridCol w:w="35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Tipo</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Preguntas</w:t>
            </w:r>
          </w:p>
        </w:tc>
        <w:tc>
          <w:tcPr>
            <w:tcW w:type="dxa" w:w="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w:t>
            </w:r>
          </w:p>
        </w:tc>
        <w:tc>
          <w:tcPr>
            <w:tcW w:type="dxa" w:w="3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Participación en la disposición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 o decisión concreta</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5, 7, 9 y 10</w:t>
            </w:r>
          </w:p>
        </w:tc>
        <w:tc>
          <w:tcPr>
            <w:tcW w:type="dxa" w:w="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13,3% cada una · 66,7% en total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 o actitud general</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 2, 3, 6 y 8</w:t>
            </w:r>
          </w:p>
        </w:tc>
        <w:tc>
          <w:tcPr>
            <w:tcW w:type="dxa" w:w="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 cada una · 33,3% en total</w:t>
            </w:r>
          </w:p>
        </w:tc>
      </w:tr>
    </w:tbl>
    <w:p>
      <w:pPr>
        <w:spacing w:after="80"/>
      </w:pPr>
    </w:p>
    <w:p>
      <w:pPr>
        <w:spacing w:after="120" w:line="300"/>
      </w:pPr>
      <w:r>
        <w:t xml:space="preserve">Fundamentos:</w:t>
      </w:r>
    </w:p>
    <w:p>
      <w:pPr>
        <w:pStyle w:val="ListParagraph"/>
        <w:numPr>
          <w:ilvl w:val="0"/>
          <w:numId w:val="2"/>
        </w:numPr>
        <w:spacing w:after="60" w:line="290"/>
      </w:pPr>
      <w:r>
        <w:t xml:space="preserve">Guillemette, Finke y Gilliam (2012) encontraron que las preguntas de aversión a la pérdida y la conducta de riesgo asumida en el pasado explican mejor la asignación real de los portafolios que las preguntas teóricas o de actitud general.</w:t>
      </w:r>
    </w:p>
    <w:p>
      <w:pPr>
        <w:pStyle w:val="ListParagraph"/>
        <w:numPr>
          <w:ilvl w:val="0"/>
          <w:numId w:val="2"/>
        </w:numPr>
        <w:spacing w:after="60" w:line="290"/>
      </w:pPr>
      <w:r>
        <w:t xml:space="preserve">Klement (2015) documenta que la conducta pasada informa más que las respuestas hipotéticas generales, y que los cuestionarios con pesos iguales no reconocen que las preguntas tienen distinta importancia (con base en el relevamiento de Rice, 2005).</w:t>
      </w:r>
    </w:p>
    <w:p>
      <w:pPr>
        <w:pStyle w:val="ListParagraph"/>
        <w:numPr>
          <w:ilvl w:val="0"/>
          <w:numId w:val="2"/>
        </w:numPr>
        <w:spacing w:after="60" w:line="290"/>
      </w:pPr>
      <w:r>
        <w:t xml:space="preserve">La simulación de la sección 15 muestra que el peso 2:1 mejora la clasificación cuando las preguntas de conducta son más precisas, que es lo que indica la evidencia. Si todas fueran igual de precisas, el costo sería de un punto porcentual. Los pesos se recalibrarán con datos reales (sección 15.4).</w:t>
      </w:r>
    </w:p>
    <w:p>
      <w:pPr>
        <w:pStyle w:val="Heading2"/>
      </w:pPr>
      <w:r>
        <w:t xml:space="preserve">4.5 Disposición, subescalas y cortes</w:t>
      </w:r>
    </w:p>
    <w:p>
      <w:pPr>
        <w:shd w:fill="F4F5EE" w:color="auto" w:val="clear"/>
        <w:spacing w:after="120" w:before="60"/>
        <w:ind w:left="360"/>
      </w:pPr>
      <w:r>
        <w:rPr>
          <w:rFonts w:ascii="Consolas" w:cs="Consolas" w:eastAsia="Consolas" w:hAnsi="Consolas"/>
          <w:color w:val="2B3014"/>
          <w:sz w:val="19"/>
          <w:szCs w:val="19"/>
        </w:rPr>
        <w:t xml:space="preserve">Disposición = Σ (peso_i × puntaje_i) / Σ peso_i        (diez preguntas; «No aplica» fuera)</w:t>
      </w:r>
    </w:p>
    <w:p>
      <w:pPr>
        <w:shd w:fill="F4F5EE" w:color="auto" w:val="clear"/>
        <w:spacing w:after="120" w:before="60"/>
        <w:ind w:left="360"/>
      </w:pPr>
      <w:r>
        <w:rPr>
          <w:rFonts w:ascii="Consolas" w:cs="Consolas" w:eastAsia="Consolas" w:hAnsi="Consolas"/>
          <w:color w:val="2B3014"/>
          <w:sz w:val="19"/>
          <w:szCs w:val="19"/>
        </w:rPr>
        <w:t xml:space="preserve">Tolerancia = mismo promedio ponderado sobre Q1, Q2, Q4, Q5 y Q9</w:t>
      </w:r>
    </w:p>
    <w:p>
      <w:pPr>
        <w:shd w:fill="F4F5EE" w:color="auto" w:val="clear"/>
        <w:spacing w:after="120" w:before="60"/>
        <w:ind w:left="360"/>
      </w:pPr>
      <w:r>
        <w:rPr>
          <w:rFonts w:ascii="Consolas" w:cs="Consolas" w:eastAsia="Consolas" w:hAnsi="Consolas"/>
          <w:color w:val="2B3014"/>
          <w:sz w:val="19"/>
          <w:szCs w:val="19"/>
        </w:rPr>
        <w:t xml:space="preserve">Apetito = mismo promedio ponderado sobre Q3, Q6, Q7, Q8 y Q10</w:t>
      </w:r>
    </w:p>
    <w:p>
      <w:pPr>
        <w:spacing w:after="120" w:line="300"/>
      </w:pPr>
      <w:r>
        <w:t xml:space="preserve">El perfil según la disposición usa cortes simétricos: conservador por debajo de 3,33, moderado entre 3,33 y 6,67, y agresivo desde 6,67. Hay tres carteras modelo y la escala es lineal; sin datos de clientes, la partición en tercios iguales no favorece a ningún perfil. Con el esquema anterior (cortes en 4 y 7), el tramo conservador era más ancho que el agresivo y la clasificación se cargaba hacia conservador (sección 15.1). Los cortes se recalibrarán con la distribución real de los clientes (normalización), como se hace con las escalas validadas.</w:t>
      </w:r>
    </w:p>
    <w:p>
      <w:pPr>
        <w:pStyle w:val="Heading2"/>
      </w:pPr>
      <w:r>
        <w:t xml:space="preserve">4.6 Capacidad financiera</w:t>
      </w:r>
    </w:p>
    <w:p>
      <w:pPr>
        <w:spacing w:after="120" w:line="300"/>
      </w:pPr>
      <w:r>
        <w:t xml:space="preserve">Promedio simple de los componentes disponibles, en la misma escala lineal de 0 a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Componente</w:t>
            </w:r>
          </w:p>
        </w:tc>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Familias y personas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Instituciones</w:t>
            </w:r>
          </w:p>
        </w:tc>
        <w:tc>
          <w:tcPr>
            <w:tcW w:type="dxa" w:w="2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retiro − edad actual</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 declarado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5 años 0 · 5 a 9 años 3,33 · 10 a 14 años 6,67 · 15 o más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del ingreso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 del hogar</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Escala lineal de la respuesta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Dependientes</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Hijos + otros dependientes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aplica</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o más 0 · 3 → 3,33 · 1 o 2 → 6,67 · ninguno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del patrimonio invertible</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 los activos o reservas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Escala lineal de la respuesta</w:t>
            </w:r>
          </w:p>
        </w:tc>
      </w:tr>
    </w:tbl>
    <w:p>
      <w:pPr>
        <w:spacing w:after="80"/>
      </w:pPr>
    </w:p>
    <w:p>
      <w:pPr>
        <w:spacing w:after="120" w:line="300"/>
      </w:pPr>
      <w:r>
        <w:t xml:space="preserve">El nivel de capacidad usa los mismos cortes de 3,33 y 6,67.</w:t>
      </w:r>
    </w:p>
    <w:p>
      <w:pPr>
        <w:pStyle w:val="Heading2"/>
      </w:pPr>
      <w:r>
        <w:t xml:space="preserve">4.7 Conocimiento y experiencia</w:t>
      </w:r>
    </w:p>
    <w:p>
      <w:pPr>
        <w:spacing w:after="120" w:line="300"/>
      </w:pPr>
      <w:r>
        <w:t xml:space="preserve">Familias y personas. Desde la versión 2.1, el conocimiento se mide con la pregunta 10 de la página 1, que se eliminó de la página 2 para no preguntar dos veces lo mismo. Como esa respuesta ya entra en la disposición con peso 2, no se aplica además como techo: aplicarla dos veces castigaría doblemente una misma respuesta. Se informa como dimensión del puntaje del cliente (25%).</w:t>
      </w:r>
    </w:p>
    <w:p>
      <w:pPr>
        <w:spacing w:after="120" w:line="300"/>
      </w:pPr>
      <w:r>
        <w:t xml:space="preserve">Instituciones, y registros de familias anteriores a la versión 2.1. Se mide con una pregunta propia: ninguno (0), limitado (3,33), bueno (6,67) o extenso (10). Funciona como techo: sin conocimiento, el perfil no supera conservador; con conocimiento limitado (menos de 5), no supera moderado. Esta regla sigue la exigencia de idoneidad de ESMA (2018) y FSA (2011), que tratan el conocimiento y la experiencia como condición separada de la disposición al riesgo.</w:t>
      </w:r>
    </w:p>
    <w:p>
      <w:pPr>
        <w:pStyle w:val="Heading2"/>
      </w:pPr>
      <w:r>
        <w:t xml:space="preserve">4.8 Asignación del perfil</w:t>
      </w:r>
    </w:p>
    <w:p>
      <w:pPr>
        <w:shd w:fill="F4F5EE" w:color="auto" w:val="clear"/>
        <w:spacing w:after="120" w:before="60"/>
        <w:ind w:left="360"/>
      </w:pPr>
      <w:r>
        <w:rPr>
          <w:rFonts w:ascii="Consolas" w:cs="Consolas" w:eastAsia="Consolas" w:hAnsi="Consolas"/>
          <w:color w:val="2B3014"/>
          <w:sz w:val="19"/>
          <w:szCs w:val="19"/>
        </w:rPr>
        <w:t xml:space="preserve">Perfil = mínimo(nivel de la disposición, nivel de la capacidad, techo del conocimiento)</w:t>
      </w:r>
    </w:p>
    <w:p>
      <w:pPr>
        <w:spacing w:after="120" w:line="300"/>
      </w:pPr>
      <w:r>
        <w:t xml:space="preserve">El panel y el Excel indican el factor limitante cuando la capacidad o el conocimiento bajaron el perfil.</w:t>
      </w:r>
    </w:p>
    <w:p>
      <w:pPr>
        <w:pStyle w:val="Heading2"/>
      </w:pPr>
      <w:r>
        <w:t xml:space="preserve">4.9 Zona de frontera y consistencia</w:t>
      </w:r>
    </w:p>
    <w:p>
      <w:pPr>
        <w:spacing w:after="120" w:line="300"/>
      </w:pPr>
      <w:r>
        <w:t xml:space="preserve">La literatura sobre clasificación con puntajes muestra que los errores se concentran cerca de los cortes (Livingston y Lewis, 1995). Por eso el sistema emite dos avisos que no cambian el cálculo, pero piden la intervención del asesor:</w:t>
      </w:r>
    </w:p>
    <w:p>
      <w:pPr>
        <w:pStyle w:val="ListParagraph"/>
        <w:numPr>
          <w:ilvl w:val="0"/>
          <w:numId w:val="2"/>
        </w:numPr>
        <w:spacing w:after="60" w:line="290"/>
      </w:pPr>
      <w:r>
        <w:rPr>
          <w:b/>
          <w:bCs/>
        </w:rPr>
        <w:t xml:space="preserve">Zona de frontera. </w:t>
      </w:r>
      <w:r>
        <w:t xml:space="preserve">Si la disposición está a menos de 0,75 puntos de un corte, el perfil se confirma con el cliente. Según la simulación, esto ocurre en alrededor de un tercio de los casos, y fuera de esa zona el acierto es de 95% (sección 15.3).</w:t>
      </w:r>
    </w:p>
    <w:p>
      <w:pPr>
        <w:pStyle w:val="ListParagraph"/>
        <w:numPr>
          <w:ilvl w:val="0"/>
          <w:numId w:val="2"/>
        </w:numPr>
        <w:spacing w:after="60" w:line="290"/>
      </w:pPr>
      <w:r>
        <w:rPr>
          <w:b/>
          <w:bCs/>
        </w:rPr>
        <w:t xml:space="preserve">Consistencia. </w:t>
      </w:r>
      <w:r>
        <w:t xml:space="preserve">Si la desviación estándar ponderada de las respuestas, en escala de 0 a 1, supera 0,30, las respuestas se contradicen y el promedio puede no representar al cliente. La FSA (2011, sección 3.19) recomienda identificar y resolver estos conflictos en vez de promediarlos.</w:t>
      </w:r>
    </w:p>
    <w:p>
      <w:pPr>
        <w:pStyle w:val="Heading2"/>
      </w:pPr>
      <w:r>
        <w:t xml:space="preserve">4.10 Puntaje del cliente</w:t>
      </w:r>
    </w:p>
    <w:p>
      <w:pPr>
        <w:shd w:fill="F4F5EE" w:color="auto" w:val="clear"/>
        <w:spacing w:after="120" w:before="60"/>
        <w:ind w:left="360"/>
      </w:pPr>
      <w:r>
        <w:rPr>
          <w:rFonts w:ascii="Consolas" w:cs="Consolas" w:eastAsia="Consolas" w:hAnsi="Consolas"/>
          <w:color w:val="2B3014"/>
          <w:sz w:val="19"/>
          <w:szCs w:val="19"/>
        </w:rPr>
        <w:t xml:space="preserve">Puntaje = promedio(Tolerancia, Apetito, Capacidad, Conocimiento)    (pesos iguales)</w:t>
      </w:r>
    </w:p>
    <w:p>
      <w:pPr>
        <w:spacing w:after="120" w:line="300"/>
      </w:pPr>
      <w:r>
        <w:t xml:space="preserve">El puntaje resume el atractivo del cliente para la firma; no interviene en la asignación del perfil.</w:t>
      </w:r>
    </w:p>
    <w:p>
      <w:pPr>
        <w:pStyle w:val="Heading2"/>
      </w:pPr>
      <w:r>
        <w:t xml:space="preserve">4.11 Matriz de posición</w:t>
      </w:r>
    </w:p>
    <w:p>
      <w:pPr>
        <w:spacing w:after="120" w:line="300"/>
      </w:pPr>
      <w:r>
        <w:t xml:space="preserve">La matriz ubica al cliente según su tolerancia (eje X) y su apetito (eje Y). Como la disposición es el promedio ponderado de ambas subescalas, los perfiles forman franjas diagonales separadas por las líneas de corte, y el punto del cliente cae siempre en la franja de su disposición. Cuando la capacidad financiera o el conocimiento limitan el perfil (sección 4.8), las franjas superiores al perfil asignado se rayan y toman su color, y el punto lleva la etiqueta del perfil asignado: el gráfico muestra siempre el mismo perfil que la ficha. Se verificó con 20.000 clientes simulados, sin ninguna discrepancia. Esto corrige la inconsistencia de la matriz anterior, cuyos cuadrantes divididos en 5 contradecían el perfil en cerca de un tercio de los casos.</w:t>
      </w:r>
    </w:p>
    <w:p>
      <w:pPr>
        <w:pStyle w:val="Heading2"/>
      </w:pPr>
      <w:r>
        <w:t xml:space="preserve">4.12 Avisos al asesor</w:t>
      </w:r>
    </w:p>
    <w:p>
      <w:pPr>
        <w:spacing w:after="120" w:line="300"/>
      </w:pPr>
      <w:r>
        <w:t xml:space="preserve">Además de la frontera y la consistencia, el panel señala: tolerancia y apetito separados por 3 puntos o más; aceptación de pérdidas de 12% o más (Q6 ≥ 7,5) con reducción de la exposición después de un año malo (Q9 ≤ 2,5); pregunta 7 marcada como «No aplica»; perfil limitado por capacidad o conocimiento; respuestas con la escala anterior, convertidas a la escala lineal; y los avisos de la planificación (retiros, metas y fondos fuera del horizonte).</w:t>
      </w:r>
    </w:p>
    <w:p>
      <w:pPr>
        <w:spacing w:after="120" w:line="300"/>
      </w:pPr>
      <w:r>
        <w:rPr>
          <w:b/>
          <w:bCs/>
        </w:rPr>
        <w:t xml:space="preserve">Registros anteriores. </w:t>
      </w:r>
      <w:r>
        <w:t xml:space="preserve">Los cuestionarios respondidos con la escala anterior se convierten a la escala lineal por la posición de la respuesta. Así, todos los clientes se miden con la misma regla.</w:t>
      </w:r>
    </w:p>
    <w:p>
      <w:pPr>
        <w:pStyle w:val="Heading1"/>
      </w:pPr>
      <w:r>
        <w:t xml:space="preserve">5. Carteras modelo</w:t>
      </w:r>
    </w:p>
    <w:p>
      <w:pPr>
        <w:spacing w:after="120" w:line="300"/>
      </w:pPr>
      <w:r>
        <w:t xml:space="preserve">Cada perfil tiene una cartera modelo con una composición fija y un rendimiento esperado anual. El riesgo de cada cartera se mide con su mezcla completa, rebalanceada cada año, sobre la serie histórica 1928–2025 de A. Damodaran (NYU Stern): S&amp;P 500 con dividendos para renta variable, bono del Tesoro a 10 años para renta fija y letra del Tesoro a 3 meses para efectivo.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100"/>
        <w:gridCol w:w="1000"/>
        <w:gridCol w:w="1500"/>
        <w:gridCol w:w="1300"/>
        <w:gridCol w:w="14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variable</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fija</w:t>
            </w:r>
          </w:p>
        </w:tc>
        <w:tc>
          <w:tcPr>
            <w:tcW w:type="dxa" w:w="1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Efectivo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Volatilidad anual</w:t>
            </w:r>
          </w:p>
        </w:tc>
        <w:tc>
          <w:tcPr>
            <w:tcW w:type="dxa" w:w="1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Peor año</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30%</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5,8%</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−11,9% (2022)</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35%</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−27,1% (1931)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Agresivo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18,4%</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−41,5% (1931)</w:t>
            </w:r>
          </w:p>
        </w:tc>
      </w:tr>
    </w:tbl>
    <w:p>
      <w:pPr>
        <w:spacing w:after="80"/>
      </w:pPr>
    </w:p>
    <w:p>
      <w:pPr>
        <w:shd w:fill="F4F5EE" w:color="auto" w:val="clear"/>
        <w:spacing w:after="120" w:before="60"/>
        <w:ind w:left="360"/>
      </w:pPr>
      <w:r>
        <w:rPr>
          <w:rFonts w:ascii="Consolas" w:cs="Consolas" w:eastAsia="Consolas" w:hAnsi="Consolas"/>
          <w:color w:val="2B3014"/>
          <w:sz w:val="19"/>
          <w:szCs w:val="19"/>
        </w:rPr>
        <w:t xml:space="preserve">Rendimiento de la cartera en el año h = (RV·S&amp;P_h + RF·Bono_h + EF·Letra_h) / 100</w:t>
      </w:r>
    </w:p>
    <w:p>
      <w:pPr>
        <w:shd w:fill="F4F5EE" w:color="auto" w:val="clear"/>
        <w:spacing w:after="120" w:before="60"/>
        <w:ind w:left="360"/>
      </w:pPr>
      <w:r>
        <w:rPr>
          <w:rFonts w:ascii="Consolas" w:cs="Consolas" w:eastAsia="Consolas" w:hAnsi="Consolas"/>
          <w:color w:val="2B3014"/>
          <w:sz w:val="19"/>
          <w:szCs w:val="19"/>
        </w:rPr>
        <w:t xml:space="preserve">Volatilidad = desviación estándar muestral de esa serie anual</w:t>
      </w:r>
    </w:p>
    <w:p>
      <w:pPr>
        <w:pStyle w:val="Heading1"/>
      </w:pPr>
      <w:r>
        <w:t xml:space="preserve">6. Supuestos del asesor</w:t>
      </w:r>
    </w:p>
    <w:p>
      <w:pPr>
        <w:spacing w:after="120" w:line="300"/>
      </w:pPr>
      <w:r>
        <w:t xml:space="preserve">Los fija el asesor en la pantalla de supuestos del panel; no los aporta el cliente. Quedan guardados en el navegador y se registran en la primera pestaña de cada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200"/>
        <w:gridCol w:w="37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Supuesto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Valor por defecto</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Aplica a</w:t>
            </w:r>
          </w:p>
        </w:tc>
        <w:tc>
          <w:tcPr>
            <w:tcW w:type="dxa" w:w="3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cambio ₡/US$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450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Conversión de montos en colones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general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3,9%</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aportes y retiros institucionales, montos en dólares de hoy y valor real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ingresos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 (el Excel original indexa el salario con la inflación general)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pensión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Indexación de la pensión desde el primer pago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inicio de la pensión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pago de la pensión (IVM: 65 años), o la independencia financiera si es posterior</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salud y ajuste de alquileres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 y 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Referenciales; no intervienen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en curso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año de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 de la proyección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Última fila de la proyección (el Excel original llega a 120)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anual de ROP, FCL y pensión voluntaria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Crecimiento de los saldos de los fondos hasta su traslado (sección 7.4)</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al ROP si el cliente no lo indica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4,25% del salario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mensual estimado al ROP</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al FCL si el cliente no lo indica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1,5% del salario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mensual estimado al FCL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ingreso del FCL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para registros anteriores a la versión 2.1, que no declaraban el año de traslado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menor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mayor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bl>
    <w:p>
      <w:pPr>
        <w:spacing w:after="80"/>
      </w:pPr>
    </w:p>
    <w:p>
      <w:pPr>
        <w:spacing w:after="120" w:line="300"/>
      </w:pPr>
      <w:r>
        <w:rPr>
          <w:b/>
          <w:bCs/>
        </w:rPr>
        <w:t xml:space="preserve">Fuente de los aportes. </w:t>
      </w:r>
      <w:r>
        <w:t xml:space="preserve">La Ley de Protección al Trabajador (Ley 7983) define el ROP con un aporte de 4,25% del salario reportado a la CCSS: 1% del trabajador y 3,25% del patrono. El FCL se constituye con el 1,5% del salario, a cargo del patrono (Asamblea Legislativa, 2000; BAC Credomatic, s. f.). Los porcentajes son editables porque pueden cambiar por reforma legal.</w:t>
      </w:r>
    </w:p>
    <w:p>
      <w:pPr>
        <w:spacing w:after="120" w:line="300"/>
      </w:pPr>
      <w:r>
        <w:rPr>
          <w:b/>
          <w:bCs/>
        </w:rPr>
        <w:t xml:space="preserve">Rendimiento de los fondos. </w:t>
      </w:r>
      <w:r>
        <w:t xml:space="preserve">El 6% anual es un supuesto prudente de la firma, cercano al rendimiento histórico del ROP informado por la prensa financiera (alrededor de 5,6% anual, según El Financiero). El asesor debe ajustarlo con las estadísticas vigentes de la Superintendencia de Pensiones (SUPEN) para la operadora del cliente.</w:t>
      </w:r>
    </w:p>
    <w:p>
      <w:pPr>
        <w:pStyle w:val="Heading1"/>
      </w:pPr>
      <w:r>
        <w:t xml:space="preserve">7. Proyección de familias y personas</w:t>
      </w:r>
    </w:p>
    <w:p>
      <w:pPr>
        <w:spacing w:after="120" w:line="300"/>
      </w:pPr>
      <w:r>
        <w:t xml:space="preserve">La proyección tiene una fila por año, desde la edad actual (fila 10 del Excel, año 1) hasta la edad final. Las filas 1 a 7 contienen los insumos editables, la 8 los títulos de sección y la 9 los encabezados. La etapa de acumulación va desde la edad actual hasta un año antes de la edad de independencia financiera; la etapa de retiro empieza en el año en que el cliente la cumple. Si el cliente ya está retirado, la proyección arranca directamente en la etapa de retiro.</w:t>
      </w:r>
    </w:p>
    <w:p>
      <w:pPr>
        <w:pStyle w:val="Heading2"/>
      </w:pPr>
      <w:r>
        <w:t xml:space="preserve">7.1 Fórmulas año a año</w:t>
      </w:r>
    </w:p>
    <w:p>
      <w:pPr>
        <w:spacing w:after="120" w:line="300"/>
      </w:pPr>
      <w:r>
        <w:t xml:space="preserve">Notación: t es el año de la proyección (columna D), inf la inflación general (D3), r el rendimiento del perfil (N), a el número de años de acumulación.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rPr>
          <w:tblHeader/>
        </w:trPr>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 del Excel</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6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Período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mensual (₡)</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 tipo de cambio × (1+inf)^(t−1); solo en acumulación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 / 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anual (₡ y US$)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 × 12 × (1+inf)^(t−1)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12</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inicial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Q del año anterior después</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Aportes / retiros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Acumulación: aporte anual fijo. Retiro: −H × factor de gasto</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 del portafolio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 K</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 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 ; O = K × 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Resultado neto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 + L</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nominal final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 P + columnas adicionales + gasto no cubierto; nunca es negativo</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en términos reales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 / (1+inf)^t</w:t>
            </w:r>
          </w:p>
        </w:tc>
      </w:tr>
    </w:tbl>
    <w:p>
      <w:pPr>
        <w:spacing w:after="80"/>
      </w:pPr>
    </w:p>
    <w:p>
      <w:pPr>
        <w:pStyle w:val="Heading2"/>
      </w:pPr>
      <w:r>
        <w:t xml:space="preserve">7.2 Columnas condicionales</w:t>
      </w:r>
    </w:p>
    <w:p>
      <w:pPr>
        <w:spacing w:after="120" w:line="300"/>
      </w:pPr>
      <w:r>
        <w:t xml:space="preserve">Estas columnas aparecen solo cuando el cliente declara el dato correspondiente, en el orden de la tabla, desde la columna S. Sin ellas, la hoja es igual al Excel de referencia, salvo la corrección de la sección 12. Todas las celdas de insumos se pueden editar y la proyección se recalcula sola.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400"/>
        <w:gridCol w:w="2426"/>
      </w:tblGrid>
      <w:tr>
        <w:trPr>
          <w:tblHeader/>
        </w:trPr>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Se activa si…</w:t>
            </w:r>
          </w:p>
        </w:tc>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Insumos en la hoja</w:t>
            </w:r>
          </w:p>
        </w:tc>
        <w:tc>
          <w:tcPr>
            <w:tcW w:type="dxa" w:w="2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Traslado de fondos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ROP, FCL o pensión voluntaria y no responde «no lo trasladaré»</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«Fondos de pensión»</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traslado total de esa hoja, en el mismo período</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anual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un régimen de pensión con monto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L1: pensión mensual en US$ de hoy; L4: edad de inicio; L5: primer período de pago, tP = MÁX(a+1; L4 − edad actual + 1); D4: inflación de pensión</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Desde tP: L1 × 12 × (1+inf)^(tP−1) × (1+D4)^(t−tP). El monto de hoy se lleva con la inflación general hasta el primer pago y desde ahí con la de pensión</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Otros ingresos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alquileres, rentas u otros ingresos</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L2: monto mensual en US$ de hoy</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en retiro: L2 × 12 × (1+inf)^(t−1)</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Aportes extraordinarios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aportes puntuales (hasta 5)</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N3:R4: año y monto en US$ de hoy</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Apoyos a dependientes (salidas)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apoyos (hasta 5)</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N5:R7: año de inicio, años y monto anual en US$ de hoy</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−SUMAPRODUCTO((inicio ≤ período) × (inicio + años &gt; período) × monto) × (1+inf)^(t−1)</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(salidas)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metas específicas (hasta 8)</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N1:U2: año y monto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no cubierto por el portafolio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Siempre (última columna)</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MÁX(0; −(K + P + columnas adicionales)). Si las salidas superan el saldo, el portafolio queda en cero y la diferencia es gasto no cubierto</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 gasto en 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Prevé un gasto menor o mayor en el retiro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L3: porcentaje del gasto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retiro: L = −H × L3</w:t>
            </w:r>
          </w:p>
        </w:tc>
      </w:tr>
    </w:tbl>
    <w:p>
      <w:pPr>
        <w:spacing w:after="80"/>
      </w:pPr>
    </w:p>
    <w:p>
      <w:pPr>
        <w:spacing w:after="120" w:line="300"/>
      </w:pPr>
      <w:r>
        <w:rPr>
          <w:b/>
          <w:bCs/>
        </w:rPr>
        <w:t xml:space="preserve">Agotamiento del portafolio. </w:t>
      </w:r>
      <w:r>
        <w:t xml:space="preserve">El portafolio no puede ser negativo. Cuando las salidas de un año superan el saldo, el portafolio queda en cero y lo que falta se registra como gasto no cubierto. Así no se calculan rendimientos sobre saldos negativos, que en versiones anteriores producían montos desproporcionados (un cliente de prueba terminaba en −US$83 millones, dos tercios de ellos por «rendimientos» sobre deuda). Si después entran recursos (pensión o traslado de fondos), el portafolio vuelve a crecer desde cero.</w:t>
      </w:r>
    </w:p>
    <w:p>
      <w:pPr>
        <w:spacing w:after="120" w:line="300"/>
      </w:pPr>
      <w:r>
        <w:rPr>
          <w:b/>
          <w:bCs/>
        </w:rPr>
        <w:t xml:space="preserve">Montos en colones. </w:t>
      </w:r>
      <w:r>
        <w:t xml:space="preserve">Se mantienen en colones dentro del Excel y se convierten con el tipo de cambio de D1 mediante fórmulas; si se edita D1, toda la proyección se recalcula. El tipo de cambio es constante en el horizonte: la inflación general de 3,9% se interpreta como la inflación de la canasta del hogar medida en dólares.</w:t>
      </w:r>
    </w:p>
    <w:p>
      <w:pPr>
        <w:spacing w:after="120" w:line="300"/>
      </w:pPr>
      <w:r>
        <w:t xml:space="preserve">Todos los montos que el cliente declara en dólares de hoy se llevan a dólares nominales con la inflación general hasta el año en que ocurren. Así, el apoyo de US$12.000 anuales para la universidad de un hijo dentro de cinco años se proyecta con su costo de ese año, no con el de hoy.</w:t>
      </w:r>
    </w:p>
    <w:p>
      <w:pPr>
        <w:pStyle w:val="Heading2"/>
      </w:pPr>
      <w:r>
        <w:t xml:space="preserve">7.3 Indicadores</w:t>
      </w:r>
    </w:p>
    <w:p>
      <w:pPr>
        <w:pStyle w:val="ListParagraph"/>
        <w:numPr>
          <w:ilvl w:val="0"/>
          <w:numId w:val="2"/>
        </w:numPr>
        <w:spacing w:after="60" w:line="290"/>
      </w:pPr>
      <w:r>
        <w:rPr>
          <w:b/>
          <w:bCs/>
        </w:rPr>
        <w:t xml:space="preserve">Portafolio al retiro: </w:t>
      </w:r>
      <w:r>
        <w:t xml:space="preserve">Q del último año de acumulación (capital actual si ya está retirado).</w:t>
      </w:r>
    </w:p>
    <w:p>
      <w:pPr>
        <w:pStyle w:val="ListParagraph"/>
        <w:numPr>
          <w:ilvl w:val="0"/>
          <w:numId w:val="2"/>
        </w:numPr>
        <w:spacing w:after="60" w:line="290"/>
      </w:pPr>
      <w:r>
        <w:rPr>
          <w:b/>
          <w:bCs/>
        </w:rPr>
        <w:t xml:space="preserve">Tasa de retiro inicial: </w:t>
      </w:r>
      <w:r>
        <w:t xml:space="preserve">|M| del primer año de retiro.</w:t>
      </w:r>
    </w:p>
    <w:p>
      <w:pPr>
        <w:pStyle w:val="ListParagraph"/>
        <w:numPr>
          <w:ilvl w:val="0"/>
          <w:numId w:val="2"/>
        </w:numPr>
        <w:spacing w:after="60" w:line="290"/>
      </w:pPr>
      <w:r>
        <w:rPr>
          <w:b/>
          <w:bCs/>
        </w:rPr>
        <w:t xml:space="preserve">Edad a la que se agota: </w:t>
      </w:r>
      <w:r>
        <w:t xml:space="preserve">primera edad con Q negativo.</w:t>
      </w:r>
    </w:p>
    <w:p>
      <w:pPr>
        <w:pStyle w:val="ListParagraph"/>
        <w:numPr>
          <w:ilvl w:val="0"/>
          <w:numId w:val="2"/>
        </w:numPr>
        <w:spacing w:after="60" w:line="290"/>
      </w:pPr>
      <w:r>
        <w:rPr>
          <w:b/>
          <w:bCs/>
        </w:rPr>
        <w:t xml:space="preserve">Portafolio final real: </w:t>
      </w:r>
      <w:r>
        <w:t xml:space="preserve">R del último año.</w:t>
      </w:r>
    </w:p>
    <w:p>
      <w:pPr>
        <w:pStyle w:val="Heading2"/>
      </w:pPr>
      <w:r>
        <w:t xml:space="preserve">7.4 Fondos de pensión complementaria</w:t>
      </w:r>
    </w:p>
    <w:p>
      <w:pPr>
        <w:spacing w:after="120" w:line="300"/>
      </w:pPr>
      <w:r>
        <w:t xml:space="preserve">El ROP, el FCL y la pensión voluntaria se modelan en una hoja propia, «Fondos de pensión», porque siguen creciendo con aportes y rendimientos mientras el cliente trabaja, y llegan al portafolio en un momento distinto de su ahorro libre. Cada fondo se lleva a dólares con el tipo de cambio del supuesto y se proyecta así:</w:t>
      </w:r>
    </w:p>
    <w:p>
      <w:pPr>
        <w:shd w:fill="F4F5EE" w:color="auto" w:val="clear"/>
        <w:spacing w:after="120" w:before="60"/>
        <w:ind w:left="360"/>
      </w:pPr>
      <w:r>
        <w:rPr>
          <w:rFonts w:ascii="Consolas" w:cs="Consolas" w:eastAsia="Consolas" w:hAnsi="Consolas"/>
          <w:color w:val="2B3014"/>
          <w:sz w:val="19"/>
          <w:szCs w:val="19"/>
        </w:rPr>
        <w:t xml:space="preserve">Aporte_t = aporte mensual × 12 × (1+inf)^(t−1), mientras t ≤ años de acumulación; 0 después</w:t>
      </w:r>
    </w:p>
    <w:p>
      <w:pPr>
        <w:shd w:fill="F4F5EE" w:color="auto" w:val="clear"/>
        <w:spacing w:after="120" w:before="60"/>
        <w:ind w:left="360"/>
      </w:pPr>
      <w:r>
        <w:rPr>
          <w:rFonts w:ascii="Consolas" w:cs="Consolas" w:eastAsia="Consolas" w:hAnsi="Consolas"/>
          <w:color w:val="2B3014"/>
          <w:sz w:val="19"/>
          <w:szCs w:val="19"/>
        </w:rPr>
        <w:t xml:space="preserve">Rendimiento_t = saldo inicial_t × rendimiento de los fondos</w:t>
      </w:r>
    </w:p>
    <w:p>
      <w:pPr>
        <w:shd w:fill="F4F5EE" w:color="auto" w:val="clear"/>
        <w:spacing w:after="120" w:before="60"/>
        <w:ind w:left="360"/>
      </w:pPr>
      <w:r>
        <w:rPr>
          <w:rFonts w:ascii="Consolas" w:cs="Consolas" w:eastAsia="Consolas" w:hAnsi="Consolas"/>
          <w:color w:val="2B3014"/>
          <w:sz w:val="19"/>
          <w:szCs w:val="19"/>
        </w:rPr>
        <w:t xml:space="preserve">Traslado_t = saldo inicial_t + aporte_t + rendimiento_t, si t es el período de traslado o el de la independencia; 0 en otro caso</w:t>
      </w:r>
    </w:p>
    <w:p>
      <w:pPr>
        <w:shd w:fill="F4F5EE" w:color="auto" w:val="clear"/>
        <w:spacing w:after="120" w:before="60"/>
        <w:ind w:left="360"/>
      </w:pPr>
      <w:r>
        <w:rPr>
          <w:rFonts w:ascii="Consolas" w:cs="Consolas" w:eastAsia="Consolas" w:hAnsi="Consolas"/>
          <w:color w:val="2B3014"/>
          <w:sz w:val="19"/>
          <w:szCs w:val="19"/>
        </w:rPr>
        <w:t xml:space="preserve">Saldo final_t = saldo inicial_t + aporte_t + rendimiento_t − traslado_t</w:t>
      </w:r>
    </w:p>
    <w:p>
      <w:pPr>
        <w:pStyle w:val="ListParagraph"/>
        <w:numPr>
          <w:ilvl w:val="0"/>
          <w:numId w:val="2"/>
        </w:numPr>
        <w:spacing w:after="60" w:line="290"/>
      </w:pPr>
      <w:r>
        <w:rPr>
          <w:b/>
          <w:bCs/>
        </w:rPr>
        <w:t xml:space="preserve">Aporte mensual. </w:t>
      </w:r>
      <w:r>
        <w:t xml:space="preserve">El que declara el cliente. Si no lo conoce, el del ROP y el del FCL se estiman con su salario y los porcentajes de la sección 6, solo si su ingreso principal es el salario: un empresario o un rentista no cotiza sobre su ingreso, y en ese caso se proyecta sin aportes nuevos y el panel lo avisa. La pensión voluntaria siempre debe declararse.</w:t>
      </w:r>
    </w:p>
    <w:p>
      <w:pPr>
        <w:pStyle w:val="ListParagraph"/>
        <w:numPr>
          <w:ilvl w:val="0"/>
          <w:numId w:val="2"/>
        </w:numPr>
        <w:spacing w:after="60" w:line="290"/>
      </w:pPr>
      <w:r>
        <w:rPr>
          <w:b/>
          <w:bCs/>
        </w:rPr>
        <w:t xml:space="preserve">Aportes indexados. </w:t>
      </w:r>
      <w:r>
        <w:t xml:space="preserve">Crecen con la inflación general, igual que el salario del Excel de referencia, porque son un porcentaje del salario.</w:t>
      </w:r>
    </w:p>
    <w:p>
      <w:pPr>
        <w:pStyle w:val="ListParagraph"/>
        <w:numPr>
          <w:ilvl w:val="0"/>
          <w:numId w:val="2"/>
        </w:numPr>
        <w:spacing w:after="60" w:line="290"/>
      </w:pPr>
      <w:r>
        <w:rPr>
          <w:b/>
          <w:bCs/>
        </w:rPr>
        <w:t xml:space="preserve">Convención de tiempo. </w:t>
      </w:r>
      <w:r>
        <w:t xml:space="preserve">El rendimiento se aplica al saldo inicial y los aportes entran al cierre del año, la misma convención del portafolio. Es conservadora: subestima levemente el rendimiento de los aportes de cada año.</w:t>
      </w:r>
    </w:p>
    <w:p>
      <w:pPr>
        <w:pStyle w:val="ListParagraph"/>
        <w:numPr>
          <w:ilvl w:val="0"/>
          <w:numId w:val="2"/>
        </w:numPr>
        <w:spacing w:after="60" w:line="290"/>
      </w:pPr>
      <w:r>
        <w:rPr>
          <w:b/>
          <w:bCs/>
        </w:rPr>
        <w:t xml:space="preserve">Traslado. </w:t>
      </w:r>
      <w:r>
        <w:t xml:space="preserve">El cliente elige entre trasladarlo al ser financieramente independiente, en un año determinado o no trasladarlo. Si lo traslada antes de la independencia, los aportes posteriores siguen acumulándose y se trasladan al ser independiente. Si el año de traslado y la independencia quedan fuera del horizonte, el saldo se traslada en el último año proyectado. Un fondo que el cliente decide no trasladar queda fuera de la proyección.</w:t>
      </w:r>
    </w:p>
    <w:p>
      <w:pPr>
        <w:pStyle w:val="ListParagraph"/>
        <w:numPr>
          <w:ilvl w:val="0"/>
          <w:numId w:val="2"/>
        </w:numPr>
        <w:spacing w:after="60" w:line="290"/>
      </w:pPr>
      <w:r>
        <w:rPr>
          <w:b/>
          <w:bCs/>
        </w:rPr>
        <w:t xml:space="preserve">Descomposición. </w:t>
      </w:r>
      <w:r>
        <w:t xml:space="preserve">La hoja informa, por fondo, los aportes acumulados, los rendimientos acumulados y el total trasladado al portafolio: el efecto de los aportes y el efecto del rendimiento por separado.</w:t>
      </w:r>
    </w:p>
    <w:p>
      <w:pPr>
        <w:spacing w:after="120" w:line="300"/>
      </w:pPr>
      <w:r>
        <w:t xml:space="preserve">Los registros anteriores a la versión 2.1 solo declaraban el saldo del ROP y del FCL. Se proyectan con el mismo modelo, sin aportes: el FCL se traslada en el año del supuesto «Año de ingreso del FCL» y el ROP al ser independiente. A diferencia de la versión 2.0, el saldo crece con el rendimiento de los fondos y no con la inflación.</w:t>
      </w:r>
    </w:p>
    <w:p>
      <w:pPr>
        <w:pStyle w:val="Heading2"/>
      </w:pPr>
      <w:r>
        <w:t xml:space="preserve">7.5 Resumen del plan: ¿alcanza?</w:t>
      </w:r>
    </w:p>
    <w:p>
      <w:pPr>
        <w:spacing w:after="120" w:line="300"/>
      </w:pPr>
      <w:r>
        <w:t xml:space="preserve">Debajo de la proyección, la hoja descompone el saldo final en sus fuentes, todo con fórmulas y en dólares nominales: capital inicial, aportes ordinarios, aportes extraordinarios, traslado de fondos, rendimientos del portafolio, pensión y otros ingresos, menos los retiros para el gasto, los apoyos a dependientes y las metas, más el gasto no cubierto (que repone a cero el saldo cuando se agota). La suma de esas líneas es igual al saldo final de la columna Q.</w:t>
      </w:r>
    </w:p>
    <w:p>
      <w:pPr>
        <w:shd w:fill="F4F5EE" w:color="auto" w:val="clear"/>
        <w:spacing w:after="120" w:before="60"/>
        <w:ind w:left="360"/>
      </w:pPr>
      <w:r>
        <w:rPr>
          <w:rFonts w:ascii="Consolas" w:cs="Consolas" w:eastAsia="Consolas" w:hAnsi="Consolas"/>
          <w:color w:val="2B3014"/>
          <w:sz w:val="19"/>
          <w:szCs w:val="19"/>
        </w:rPr>
        <w:t xml:space="preserve">¿Alcanza? = SÍ(Y(gasto no cubierto = 0; saldo final en dólares de hoy ≥ herencia deseada); «Sí alcanza»; «No alcanza»)</w:t>
      </w:r>
    </w:p>
    <w:p>
      <w:pPr>
        <w:spacing w:after="120" w:line="300"/>
      </w:pPr>
      <w:r>
        <w:t xml:space="preserve">Es el mismo criterio del rendimiento de equilibrio (sección 9), aplicado a la cartera asignada. La hoja informa también la edad a la que se agota el portafolio y el gasto no cubierto total en dólares de hoy, que mide el tamaño del faltante. El panel del asesor y la ficha PDF muestran el mismo resultado.</w:t>
      </w:r>
    </w:p>
    <w:p>
      <w:pPr>
        <w:pStyle w:val="Heading1"/>
      </w:pPr>
      <w:r>
        <w:t xml:space="preserve">8. Proyección institucional</w:t>
      </w:r>
    </w:p>
    <w:p>
      <w:pPr>
        <w:spacing w:after="120" w:line="300"/>
      </w:pPr>
      <w:r>
        <w:t xml:space="preserve">Una fila por año durante el horizonte de inversión (máximo 60 años), a partir de la fila 12 de la hoja Proyección. Los insumos están en D1:D8 (tipo de cambio, inflación, rendimiento del perfil, capital, aporte, retiro, capital mínimo y horizonte) y en I3:J5 (año y monto de hasta tres retiros extraordinarios).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9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 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y período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 año de inicio + t − 1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saldo final del año anterior después</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extraordinario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 r</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 + H + E + F + G</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J</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real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en dólares de hoy</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w:t>
            </w:r>
          </w:p>
        </w:tc>
      </w:tr>
    </w:tbl>
    <w:p>
      <w:pPr>
        <w:spacing w:after="80"/>
      </w:pPr>
    </w:p>
    <w:p>
      <w:pPr>
        <w:spacing w:after="120" w:line="300"/>
      </w:pPr>
      <w:r>
        <w:t xml:space="preserve">El rendimiento se aplica al saldo inicial y los flujos entran al cierre del año, la misma convención de la proyección de personas.</w:t>
      </w:r>
    </w:p>
    <w:p>
      <w:pPr>
        <w:pStyle w:val="Heading1"/>
      </w:pPr>
      <w:r>
        <w:t xml:space="preserve">9. Rendimiento de equilibrio</w:t>
      </w:r>
    </w:p>
    <w:p>
      <w:pPr>
        <w:spacing w:after="120" w:line="300"/>
      </w:pPr>
      <w:r>
        <w:t xml:space="preserve">Es el rendimiento anual mínimo con el que el plan alcanza su objetivo bajo los supuestos vigentes:</w:t>
      </w:r>
    </w:p>
    <w:p>
      <w:pPr>
        <w:pStyle w:val="ListParagraph"/>
        <w:numPr>
          <w:ilvl w:val="0"/>
          <w:numId w:val="2"/>
        </w:numPr>
        <w:spacing w:after="60" w:line="290"/>
      </w:pPr>
      <w:r>
        <w:rPr>
          <w:b/>
          <w:bCs/>
        </w:rPr>
        <w:t xml:space="preserve">Familias y personas: </w:t>
      </w:r>
      <w:r>
        <w:t xml:space="preserve">el portafolio no queda negativo en ningún año hasta la edad final y, si el cliente pidió dejar herencia, el valor real final es al menos el monto de la herencia en dólares de hoy.</w:t>
      </w:r>
    </w:p>
    <w:p>
      <w:pPr>
        <w:pStyle w:val="ListParagraph"/>
        <w:numPr>
          <w:ilvl w:val="0"/>
          <w:numId w:val="2"/>
        </w:numPr>
        <w:spacing w:after="60" w:line="290"/>
      </w:pPr>
      <w:r>
        <w:rPr>
          <w:b/>
          <w:bCs/>
        </w:rPr>
        <w:t xml:space="preserve">Instituciones: </w:t>
      </w:r>
      <w:r>
        <w:t xml:space="preserve">el saldo no queda negativo en ningún año del horizonte y el saldo real final es al menos el capital mínimo.</w:t>
      </w:r>
    </w:p>
    <w:p>
      <w:pPr>
        <w:spacing w:after="120" w:line="300"/>
      </w:pPr>
      <w:r>
        <w:t xml:space="preserve">Se calcula volviendo a correr la misma proyección con distintos rendimientos, por bisección entre 0% y 30% (40 iteraciones). Mientras el saldo es positivo, un rendimiento mayor deja un saldo mayor en cada año, por lo que la condición es monótona y la bisección converge al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Resultado</w:t>
            </w:r>
          </w:p>
        </w:tc>
        <w:tc>
          <w:tcPr>
            <w:tcW w:type="dxa" w:w="6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Interpretación</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rendimiento</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objetivo se cumple aun con 0%.</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entre 0% y 30%</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mínimo necesario.</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Inalcanzable</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 con 30% se cumple: el plan requiere ajustes en gasto, aportes, retiros o metas.</w:t>
            </w:r>
          </w:p>
        </w:tc>
      </w:tr>
    </w:tbl>
    <w:p>
      <w:pPr>
        <w:spacing w:after="80"/>
      </w:pPr>
    </w:p>
    <w:p>
      <w:pPr>
        <w:spacing w:after="120" w:line="300"/>
      </w:pPr>
      <w:r>
        <w:rPr>
          <w:b/>
          <w:bCs/>
        </w:rPr>
        <w:t xml:space="preserve">Holgura o brecha: </w:t>
      </w:r>
      <w:r>
        <w:t xml:space="preserve">rendimiento de la cartera asignada menos el de equilibrio. </w:t>
      </w:r>
      <w:r>
        <w:rPr>
          <w:b/>
          <w:bCs/>
        </w:rPr>
        <w:t xml:space="preserve">Perfil que exige el objetivo: </w:t>
      </w:r>
      <w:r>
        <w:t xml:space="preserve">el perfil de menor riesgo cuya cartera rinde al menos el equilibrio.</w:t>
      </w:r>
    </w:p>
    <w:p>
      <w:pPr>
        <w:pStyle w:val="Heading1"/>
      </w:pPr>
      <w:r>
        <w:t xml:space="preserve">10. Cartera de equilibrio</w:t>
      </w:r>
    </w:p>
    <w:p>
      <w:pPr>
        <w:spacing w:after="120" w:line="300"/>
      </w:pPr>
      <w:r>
        <w:t xml:space="preserve">La cartera de equilibrio es la combinación de carteras modelo que rinde exactamente el rendimiento de equilibrio con el menor riesgo posible. Se obtiene mezclando las dos carteras modelo vecinas:</w:t>
      </w:r>
    </w:p>
    <w:p>
      <w:pPr>
        <w:shd w:fill="F4F5EE" w:color="auto" w:val="clear"/>
        <w:spacing w:after="120" w:before="60"/>
        <w:ind w:left="360"/>
      </w:pPr>
      <w:r>
        <w:rPr>
          <w:rFonts w:ascii="Consolas" w:cs="Consolas" w:eastAsia="Consolas" w:hAnsi="Consolas"/>
          <w:color w:val="2B3014"/>
          <w:sz w:val="19"/>
          <w:szCs w:val="19"/>
        </w:rPr>
        <w:t xml:space="preserve">w = (r_eq − r_A) / (r_B − r_A)</w:t>
      </w:r>
    </w:p>
    <w:p>
      <w:pPr>
        <w:shd w:fill="F4F5EE" w:color="auto" w:val="clear"/>
        <w:spacing w:after="120" w:before="60"/>
        <w:ind w:left="360"/>
      </w:pPr>
      <w:r>
        <w:rPr>
          <w:rFonts w:ascii="Consolas" w:cs="Consolas" w:eastAsia="Consolas" w:hAnsi="Consolas"/>
          <w:color w:val="2B3014"/>
          <w:sz w:val="19"/>
          <w:szCs w:val="19"/>
        </w:rPr>
        <w:t xml:space="preserve">Composición = (1 − w) · Cartera A + w · Cartera B        Rendimiento = r_eq</w:t>
      </w:r>
    </w:p>
    <w:p>
      <w:pPr>
        <w:spacing w:after="120" w:line="300"/>
      </w:pPr>
      <w:r>
        <w:t xml:space="preserve">A y B son las carteras conservadora y moderada si el equilibrio está entre 5% y 7%, o moderada y agresiva si está entre 7% y 8%. El riesgo de la mezcla se mide igual que el de las carteras modelo (sección 5).</w:t>
      </w:r>
    </w:p>
    <w:p>
      <w:pPr>
        <w:spacing w:after="120" w:line="300"/>
      </w:pPr>
      <w:r>
        <w:rPr>
          <w:b/>
          <w:bCs/>
        </w:rPr>
        <w:t xml:space="preserve">Ejemplo. </w:t>
      </w:r>
      <w:r>
        <w:t xml:space="preserve">Con un equilibrio de 6,65%: w = (6,65 − 5) / (7 − 5) = 0,825. La composición es 0,175 × (20/50/30) + 0,825 × (60/35/5) = 53,0% renta variable, 37,6% renta fija y 9,4% efectivo, con una volatilidad anual de 10,8%.</w:t>
      </w:r>
    </w:p>
    <w:p>
      <w:pPr>
        <w:spacing w:after="120" w:line="300"/>
      </w:pPr>
      <w:r>
        <w:rPr>
          <w:b/>
          <w:bCs/>
        </w:rPr>
        <w:t xml:space="preserve">Casos extremos. </w:t>
      </w:r>
      <w:r>
        <w:t xml:space="preserve">Si el equilibrio es menor o igual a 5%, o el objetivo se cumple sin rendimiento, se usa la cartera conservadora, la de menor riesgo del sistema. Si supera 8%, ninguna combinación de carteras modelo lo alcanza; se muestra la cartera agresiva y se indica que no alcanza el equilibrio.</w:t>
      </w:r>
    </w:p>
    <w:p>
      <w:pPr>
        <w:spacing w:after="120" w:line="300"/>
      </w:pPr>
      <w:r>
        <w:rPr>
          <w:b/>
          <w:bCs/>
        </w:rPr>
        <w:t xml:space="preserve">Curva de carteras modelo. </w:t>
      </w:r>
      <w:r>
        <w:t xml:space="preserve">El gráfico de equilibrio traza todas las mezclas posibles (eje X: volatilidad; eje Y: rendimiento). La curva pasa por las tres carteras modelo, y cada uno de sus puntos corresponde a una composición concreta. El punto de equilibrio y su composición son, por lo tanto, consistentes entre el gráfico, el pastel, el Excel y el PDF.</w:t>
      </w:r>
    </w:p>
    <w:p>
      <w:pPr>
        <w:pStyle w:val="Heading2"/>
      </w:pPr>
      <w:r>
        <w:t xml:space="preserve">10.1 Gráfico de rendimiento de equilibrio</w:t>
      </w:r>
    </w:p>
    <w:p>
      <w:pPr>
        <w:spacing w:after="120" w:line="300"/>
      </w:pPr>
      <w:r>
        <w:t xml:space="preserve">El gráfico ubica en un mismo plano el riesgo (eje X, volatilidad anual) y el rendimiento esperado (eje Y). Contiene cuatro elementos: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Elemento</w:t>
            </w:r>
          </w:p>
        </w:tc>
        <w:tc>
          <w:tcPr>
            <w:tcW w:type="dxa" w:w="3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Qué representa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De dónde sale</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Curva de carteras modelo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Todas las combinaciones posibles entre carteras modelo vecinas, de la conservadora a la agresiva.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Composiciones y rendimientos de la sección 5; volatilidad con la serie 1928–2025.</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asignada (círculo)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que corresponde al perfil de riesgo del cliente.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Perfil de la sección 4.</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Línea punteada y valor en el eje Y</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rendimiento de equilibrio: lo mínimo que el plan necesita.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de la sección 9.</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 (punto de color)</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de menor riesgo que rinde el equilibrio; es la misma del pastel.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la sección 10.</w:t>
            </w:r>
          </w:p>
        </w:tc>
      </w:tr>
    </w:tbl>
    <w:p>
      <w:pPr>
        <w:spacing w:after="80"/>
      </w:pPr>
    </w:p>
    <w:p>
      <w:pPr>
        <w:spacing w:after="120" w:line="300"/>
      </w:pPr>
      <w:r>
        <w:rPr>
          <w:b/>
          <w:bCs/>
        </w:rPr>
        <w:t xml:space="preserve">Aporte metodológico. </w:t>
      </w:r>
      <w:r>
        <w:t xml:space="preserve">El gráfico pone frente a frente dos condiciones independientes:</w:t>
      </w:r>
    </w:p>
    <w:p>
      <w:pPr>
        <w:pStyle w:val="ListParagraph"/>
        <w:numPr>
          <w:ilvl w:val="0"/>
          <w:numId w:val="2"/>
        </w:numPr>
        <w:spacing w:after="60" w:line="290"/>
      </w:pPr>
      <w:r>
        <w:rPr>
          <w:b/>
          <w:bCs/>
        </w:rPr>
        <w:t xml:space="preserve">Lo que el cliente puede asumir: </w:t>
      </w:r>
      <w:r>
        <w:t xml:space="preserve">el perfil de riesgo, que se obtiene del cuestionario.</w:t>
      </w:r>
    </w:p>
    <w:p>
      <w:pPr>
        <w:pStyle w:val="ListParagraph"/>
        <w:numPr>
          <w:ilvl w:val="0"/>
          <w:numId w:val="2"/>
        </w:numPr>
        <w:spacing w:after="60" w:line="290"/>
      </w:pPr>
      <w:r>
        <w:rPr>
          <w:b/>
          <w:bCs/>
        </w:rPr>
        <w:t xml:space="preserve">Lo que el plan necesita: </w:t>
      </w:r>
      <w:r>
        <w:t xml:space="preserve">el rendimiento de equilibrio, que se obtiene de la proyección.</w:t>
      </w:r>
    </w:p>
    <w:p>
      <w:pPr>
        <w:spacing w:after="120" w:line="300"/>
      </w:pPr>
      <w:r>
        <w:t xml:space="preserve">La proyección por sí sola es determinística y no muestra riesgo. El gráfico traduce el rendimiento que exige el plan en el riesgo que hay que asumir para obtenerlo (volatilidad y peor año histórico de la cartera de equilibrio). La lectura es horizontal:</w:t>
      </w:r>
    </w:p>
    <w:p>
      <w:pPr>
        <w:pStyle w:val="ListParagraph"/>
        <w:numPr>
          <w:ilvl w:val="0"/>
          <w:numId w:val="2"/>
        </w:numPr>
        <w:spacing w:after="60" w:line="290"/>
      </w:pPr>
      <w:r>
        <w:t xml:space="preserve">Si la cartera de equilibrio queda a la izquierda de la cartera asignada, el plan se cumple con menos riesgo del que el perfil admite (holgura).</w:t>
      </w:r>
    </w:p>
    <w:p>
      <w:pPr>
        <w:pStyle w:val="ListParagraph"/>
        <w:numPr>
          <w:ilvl w:val="0"/>
          <w:numId w:val="2"/>
        </w:numPr>
        <w:spacing w:after="60" w:line="290"/>
      </w:pPr>
      <w:r>
        <w:t xml:space="preserve">Si queda a la derecha, el plan exige más riesgo del que el perfil admite (brecha). El ajuste corresponde al plan (gasto, aportes, edad de retiro, metas o retiros) y no a la cartera.</w:t>
      </w:r>
    </w:p>
    <w:p>
      <w:pPr>
        <w:pStyle w:val="ListParagraph"/>
        <w:numPr>
          <w:ilvl w:val="0"/>
          <w:numId w:val="2"/>
        </w:numPr>
        <w:spacing w:after="60" w:line="290"/>
      </w:pPr>
      <w:r>
        <w:t xml:space="preserve">Si el equilibrio supera 8%, ninguna cartera modelo lo alcanza; la línea punteada queda por encima de la curva y se marca la cartera agresiva como máximo disponible.</w:t>
      </w:r>
    </w:p>
    <w:p>
      <w:pPr>
        <w:spacing w:after="120" w:line="300"/>
      </w:pPr>
      <w:r>
        <w:t xml:space="preserve">Los pasteles complementan el gráfico: el gráfico muestra dónde está cada cartera en riesgo y rendimiento, y los pasteles muestran de qué está compuesta.</w:t>
      </w:r>
    </w:p>
    <w:p>
      <w:pPr>
        <w:pStyle w:val="Heading2"/>
      </w:pPr>
      <w:r>
        <w:t xml:space="preserve">10.2 Auditoría del gráfico</w:t>
      </w:r>
    </w:p>
    <w:p>
      <w:pPr>
        <w:pStyle w:val="ListParagraph"/>
        <w:numPr>
          <w:ilvl w:val="0"/>
          <w:numId w:val="2"/>
        </w:numPr>
        <w:spacing w:after="60" w:line="290"/>
      </w:pPr>
      <w:r>
        <w:rPr>
          <w:b/>
          <w:bCs/>
        </w:rPr>
        <w:t xml:space="preserve">Consistencia. </w:t>
      </w:r>
      <w:r>
        <w:t xml:space="preserve">El punto de la cartera de equilibrio se calcula con la misma función que el pastel, por lo que su volatilidad y su composición coinciden. Se verificó en el panel, el PDF y el Excel.</w:t>
      </w:r>
    </w:p>
    <w:p>
      <w:pPr>
        <w:pStyle w:val="ListParagraph"/>
        <w:numPr>
          <w:ilvl w:val="0"/>
          <w:numId w:val="2"/>
        </w:numPr>
        <w:spacing w:after="60" w:line="290"/>
      </w:pPr>
      <w:r>
        <w:rPr>
          <w:b/>
          <w:bCs/>
        </w:rPr>
        <w:t xml:space="preserve">Casos extremos corregidos. </w:t>
      </w:r>
      <w:r>
        <w:t xml:space="preserve">Antes, si el equilibrio era menor que 5%, mayor que 8% o inalcanzable, el gráfico no marcaba ninguna cartera mientras el pastel mostraba una. Ahora marca siempre la misma cartera del pastel: la conservadora en el primer caso y la agresiva, como máximo disponible, en los otros dos.</w:t>
      </w:r>
    </w:p>
    <w:p>
      <w:pPr>
        <w:pStyle w:val="ListParagraph"/>
        <w:numPr>
          <w:ilvl w:val="0"/>
          <w:numId w:val="2"/>
        </w:numPr>
        <w:spacing w:after="60" w:line="290"/>
      </w:pPr>
      <w:r>
        <w:rPr>
          <w:b/>
          <w:bCs/>
        </w:rPr>
        <w:t xml:space="preserve">Monotonía. </w:t>
      </w:r>
      <w:r>
        <w:t xml:space="preserve">La curva es creciente en riesgo y rendimiento en todo su recorrido, por lo que a cada rendimiento de equilibrio le corresponde una sola cartera.</w:t>
      </w:r>
    </w:p>
    <w:p>
      <w:pPr>
        <w:pStyle w:val="ListParagraph"/>
        <w:numPr>
          <w:ilvl w:val="0"/>
          <w:numId w:val="2"/>
        </w:numPr>
        <w:spacing w:after="60" w:line="290"/>
      </w:pPr>
      <w:r>
        <w:rPr>
          <w:b/>
          <w:bCs/>
        </w:rPr>
        <w:t xml:space="preserve">Alcance. </w:t>
      </w:r>
      <w:r>
        <w:t xml:space="preserve">La curva no es una frontera eficiente en sentido estricto: no optimiza sobre todas las combinaciones de activos, sino que mezcla las carteras modelo de la firma. Además, combina rendimientos supuestos por la firma con volatilidades históricas de activos de los Estados Unidos.</w:t>
      </w:r>
    </w:p>
    <w:p>
      <w:pPr>
        <w:pStyle w:val="ListParagraph"/>
        <w:numPr>
          <w:ilvl w:val="0"/>
          <w:numId w:val="2"/>
        </w:numPr>
        <w:spacing w:after="60" w:line="290"/>
      </w:pPr>
      <w:r>
        <w:rPr>
          <w:b/>
          <w:bCs/>
        </w:rPr>
        <w:t xml:space="preserve">Supuesto determinístico. </w:t>
      </w:r>
      <w:r>
        <w:t xml:space="preserve">El equilibrio supone un rendimiento constante cada año. Dos carteras con el mismo rendimiento esperado y distinta volatilidad tienen el mismo equilibrio, aunque la más volátil tiene mayor probabilidad de no cumplir el plan por la secuencia de rendimientos.</w:t>
      </w:r>
    </w:p>
    <w:p>
      <w:pPr>
        <w:spacing w:after="120" w:line="300"/>
      </w:pPr>
      <w:r>
        <w:rPr>
          <w:b/>
          <w:bCs/>
        </w:rPr>
        <w:t xml:space="preserve">Gráficos de pastel. </w:t>
      </w:r>
      <w:r>
        <w:t xml:space="preserve">El panel, la ficha PDF y la primera pestaña del Excel muestran dos pasteles: la cartera asignada al perfil y la cartera de equilibrio. En el Excel ambos se alimentan de la hoja Datos.</w:t>
      </w:r>
    </w:p>
    <w:p>
      <w:pPr>
        <w:pStyle w:val="Heading1"/>
      </w:pPr>
      <w:r>
        <w:t xml:space="preserve">11. Productos de salida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Producto</w:t>
            </w:r>
          </w:p>
        </w:tc>
        <w:tc>
          <w:tcPr>
            <w:tcW w:type="dxa" w:w="6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Contenido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Panel del asesor</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Pestañas separadas para familias y personas e instituciones, en orden alfabético. El detalle de cada cliente tiene dos páginas, en el mismo orden que la ficha PDF. Página 1: posición del cliente con sus puntajes y rendimiento de equilibrio. Página 2: cartera asignada y cartera de equilibrio, proyección, datos declarados y tabla año a año.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Respuestas del cliente</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Tercera pestaña del detalle de cada cliente, con dos secciones plegadas que se abren al hacer clic: perfil de riesgo y planificación. La primera muestra el resumen de las cuatro dimensiones (25% cada una), cada respuesta con su puntaje, peso y aporte, y los componentes de la capacidad. La segunda muestra cada respuesta de planificación con su uso en el modelo. Cada sección se descarga en un Excel propio, independiente del Excel del modelo.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de familias y personas (plantilla_familias.xlsx)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Cliente: ficha completa y los mismos gráficos de la ficha PDF (pasteles de las dos carteras, rendimiento de equilibrio y matriz de posición). Proyección: réplica con fórmulas del Excel de referencia y columnas condicionales, con gráfica nominal y real. Datos: valores que alimentan los gráficos.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institucional (plantilla_instituciones.xlsx)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Institución: ficha completa y los mismos gráficos de la ficha PDF. Proyección: insumos editables, fila por año con fórmulas y dos gráficas (nominal y real) con la meta mínima. Datos: valores que alimentan los gráficos.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Ficha PDF</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Dos páginas. Página 1: cifras clave, posición del cliente con sus puntajes, gráfico de rendimiento de equilibrio con sus cifras y conclusión. Página 2: pasteles de la cartera asignada y la cartera de equilibrio, con su volatilidad y peor año; proyección del portafolio y supuestos.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CSV consolidado</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Uno por pestaña, para Power BI. Una fila por cliente y año, con perfil, equilibrio, composición de la cartera de equilibrio y flujos de la proyección.</w:t>
            </w:r>
          </w:p>
        </w:tc>
      </w:tr>
    </w:tbl>
    <w:p>
      <w:pPr>
        <w:pStyle w:val="Heading1"/>
      </w:pPr>
      <w:r>
        <w:t xml:space="preserve">12. Cambios metodológicos respecto del Excel de referencia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300"/>
        <w:gridCol w:w="30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Cambio</w:t>
            </w:r>
          </w:p>
        </w:tc>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Antes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Ahora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Motivo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real del primer año (R9)</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Q9 × inflación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(1 + inflación)^1</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fórmula anterior era una aproximación del descuento; ahora todas las filas usan el descuento exacto. En el escenario de 7% del caso de referencia, R9 pasa de US$353 168 a US$353 706.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en la jubilación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Siempre −H</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factor si el cliente prevé un gasto menor o mayor</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respuesta del cuestionario sobre el gasto en el retiro.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pensión indexada con la inflación de pensión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pensión declarada y el supuesto D4, que ya existía en el Excel.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salidas puntuales en el año de cada meta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las metas declaradas.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y FCL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ingresos puntuales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los saldos que el cliente decide incorporar.</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sobre la misma proyección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Mide el rendimiento mínimo que exige el plan.</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carteras modelo vecinas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Traduce el equilibrio a una composición concreta.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el panel, la ficha PDF y el Excel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Muestra el riesgo que exige el plan frente al que admite el perfil.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pastel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número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texto; dos pasteles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Corrige la presentación de las clases de activo.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Gráfica de proyección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valor nominal, eje en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nominal y real, eje en edades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Permite leer el poder adquisitivo.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años por defecto, editable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vida más usual; el asesor puede llevarlo a 120.</w:t>
            </w:r>
          </w:p>
        </w:tc>
      </w:tr>
    </w:tbl>
    <w:p>
      <w:pPr>
        <w:spacing w:after="80"/>
      </w:pPr>
    </w:p>
    <w:p>
      <w:pPr>
        <w:spacing w:after="120" w:line="300"/>
      </w:pPr>
      <w:r>
        <w:t xml:space="preserve">Con el mismo cliente y los mismos supuestos, las fórmulas generadas coinciden con las 928 del Excel de referencia, salvo R9. Los valores coinciden en todas las celdas de los tres escenarios (5%, 7% y 8%), salvo R9.</w:t>
      </w:r>
    </w:p>
    <w:p>
      <w:pPr>
        <w:pStyle w:val="Heading1"/>
      </w:pPr>
      <w:r>
        <w:t xml:space="preserve">13. Validación y auditoría</w:t>
      </w:r>
    </w:p>
    <w:p>
      <w:pPr>
        <w:spacing w:after="120" w:line="300"/>
      </w:pPr>
      <w:r>
        <w:t xml:space="preserve">En octubre de 2026, un revisor independiente reconstruyó la proyección de familias desde esta metodología, sin usar el código del sistema, y la comparó año por año con el Excel recalculado en 17 clientes de prueba (formatos nuevo y anterior, montos en colones, cliente ya retirado, independencia fuera del horizonte, portafolio que se agota, capital de US$1.000.000). Las cifras coinciden en todos los años. Verificó además cifras de forma cerrada (1.000.000 × 1,07^51 y anualidades), la propagación de cambios en las celdas de insumos (tipo de cambio, inflación, edad de pensión, rendimiento de los fondos) y los rangos de los gráficos. Sus hallazgos se corrigieron en la versión 2.1: piso en cero del portafolio, inicio e indexación de la pensión, montos en colones ligados al tipo de cambio, traslado de fondos fuera del horizonte y estimación del aporte al ROP y al FCL solo para asalariados.</w:t>
      </w:r>
    </w:p>
    <w:p>
      <w:pPr>
        <w:pStyle w:val="ListParagraph"/>
        <w:numPr>
          <w:ilvl w:val="0"/>
          <w:numId w:val="2"/>
        </w:numPr>
        <w:spacing w:after="60" w:line="290"/>
      </w:pPr>
      <w:r>
        <w:t xml:space="preserve">Réplica del Excel de referencia: 76 filas por escenario, diferencia cero en todas las columnas, salvo R9.</w:t>
      </w:r>
    </w:p>
    <w:p>
      <w:pPr>
        <w:pStyle w:val="ListParagraph"/>
        <w:numPr>
          <w:ilvl w:val="0"/>
          <w:numId w:val="2"/>
        </w:numPr>
        <w:spacing w:after="60" w:line="290"/>
      </w:pPr>
      <w:r>
        <w:t xml:space="preserve">Recálculo independiente con LibreOffice de los Excel generados: los valores coinciden con el panel en todos los casos probados (personas con y sin ROP o FCL, con pensión, con metas, con gasto menor o mayor, ya retirados, en colones; instituciones con horizontes de 1, 15 y 60 años).</w:t>
      </w:r>
    </w:p>
    <w:p>
      <w:pPr>
        <w:pStyle w:val="ListParagraph"/>
        <w:numPr>
          <w:ilvl w:val="0"/>
          <w:numId w:val="2"/>
        </w:numPr>
        <w:spacing w:after="60" w:line="290"/>
      </w:pPr>
      <w:r>
        <w:t xml:space="preserve">Implementación independiente de la metodología en Python: coincide al céntimo con el panel y con el Excel, también al modificar insumos dentro del Excel.</w:t>
      </w:r>
    </w:p>
    <w:p>
      <w:pPr>
        <w:pStyle w:val="ListParagraph"/>
        <w:numPr>
          <w:ilvl w:val="0"/>
          <w:numId w:val="2"/>
        </w:numPr>
        <w:spacing w:after="60" w:line="290"/>
      </w:pPr>
      <w:r>
        <w:t xml:space="preserve">Auditoría por un revisor independiente: no encontró errores de cálculo. Los hallazgos operativos (jubilados, montos con decimales, caracteres especiales, nombres largos en el PDF, entre otros) fueron corregidos y verificados nuevamente.</w:t>
      </w:r>
    </w:p>
    <w:p>
      <w:pPr>
        <w:pStyle w:val="ListParagraph"/>
        <w:numPr>
          <w:ilvl w:val="0"/>
          <w:numId w:val="2"/>
        </w:numPr>
        <w:spacing w:after="60" w:line="290"/>
      </w:pPr>
      <w:r>
        <w:t xml:space="preserve">Cuestionario: se probaron las validaciones de cada campo y los recorridos completos de ambos tipos de cliente.</w:t>
      </w:r>
    </w:p>
    <w:p>
      <w:pPr>
        <w:pStyle w:val="Heading1"/>
      </w:pPr>
      <w:r>
        <w:t xml:space="preserve">14. Limitaciones y puntos abiertos</w:t>
      </w:r>
    </w:p>
    <w:p>
      <w:pPr>
        <w:pStyle w:val="ListParagraph"/>
        <w:numPr>
          <w:ilvl w:val="0"/>
          <w:numId w:val="2"/>
        </w:numPr>
        <w:spacing w:after="60" w:line="290"/>
      </w:pPr>
      <w:r>
        <w:rPr>
          <w:b/>
          <w:bCs/>
        </w:rPr>
        <w:t xml:space="preserve">Medición por cuestionario. </w:t>
      </w:r>
      <w:r>
        <w:t xml:space="preserve">Aun con la metodología v2, un cuestionario de autoevaluación tiene un límite de precisión. La zona de frontera traslada al asesor los casos dudosos; la validación con clientes reales (sección 15.4) está pendiente.</w:t>
      </w:r>
    </w:p>
    <w:p>
      <w:pPr>
        <w:pStyle w:val="ListParagraph"/>
        <w:numPr>
          <w:ilvl w:val="0"/>
          <w:numId w:val="2"/>
        </w:numPr>
        <w:spacing w:after="60" w:line="290"/>
      </w:pPr>
      <w:r>
        <w:rPr>
          <w:b/>
          <w:bCs/>
        </w:rPr>
        <w:t xml:space="preserve">Rendimientos esperados. </w:t>
      </w:r>
      <w:r>
        <w:t xml:space="preserve">Los rendimientos de las carteras modelo (5%, 7% y 8%) son supuestos de la firma; no se derivan de la serie histórica, que solo se usa para medir el riesgo.</w:t>
      </w:r>
    </w:p>
    <w:p>
      <w:pPr>
        <w:pStyle w:val="ListParagraph"/>
        <w:numPr>
          <w:ilvl w:val="0"/>
          <w:numId w:val="2"/>
        </w:numPr>
        <w:spacing w:after="60" w:line="290"/>
      </w:pPr>
      <w:r>
        <w:rPr>
          <w:b/>
          <w:bCs/>
        </w:rPr>
        <w:t xml:space="preserve">Equilibrio determinístico. </w:t>
      </w:r>
      <w:r>
        <w:t xml:space="preserve">El rendimiento de equilibrio no incorpora la volatilidad; una simulación estocástica permitiría medir la probabilidad de cumplir el plan con cada cartera.</w:t>
      </w:r>
    </w:p>
    <w:p>
      <w:pPr>
        <w:pStyle w:val="ListParagraph"/>
        <w:numPr>
          <w:ilvl w:val="0"/>
          <w:numId w:val="2"/>
        </w:numPr>
        <w:spacing w:after="60" w:line="290"/>
      </w:pPr>
      <w:r>
        <w:rPr>
          <w:b/>
          <w:bCs/>
        </w:rPr>
        <w:t xml:space="preserve">Pensión. </w:t>
      </w:r>
      <w:r>
        <w:t xml:space="preserve">Empieza en el año de independencia financiera declarado, aunque el régimen fije otra edad de acceso.</w:t>
      </w:r>
    </w:p>
    <w:p>
      <w:pPr>
        <w:pStyle w:val="ListParagraph"/>
        <w:numPr>
          <w:ilvl w:val="0"/>
          <w:numId w:val="2"/>
        </w:numPr>
        <w:spacing w:after="60" w:line="290"/>
      </w:pPr>
      <w:r>
        <w:rPr>
          <w:b/>
          <w:bCs/>
        </w:rPr>
        <w:t xml:space="preserve">Fondos de pensión. </w:t>
      </w:r>
      <w:r>
        <w:t xml:space="preserve">Se proyectan en dólares con un rendimiento único; no modelan el riesgo cambiario de los fondos en colones, las comisiones de cada operadora ni las reglas de retiro del ROP (que la ley vincula a la pensión del régimen básico). Los porcentajes de aporte pueden cambiar por reforma legal y deben revisarse.</w:t>
      </w:r>
    </w:p>
    <w:p>
      <w:pPr>
        <w:pStyle w:val="ListParagraph"/>
        <w:numPr>
          <w:ilvl w:val="0"/>
          <w:numId w:val="2"/>
        </w:numPr>
        <w:spacing w:after="60" w:line="290"/>
      </w:pPr>
      <w:r>
        <w:rPr>
          <w:b/>
          <w:bCs/>
        </w:rPr>
        <w:t xml:space="preserve">Factores de gasto en el retiro. </w:t>
      </w:r>
      <w:r>
        <w:t xml:space="preserve">Los valores de 80% y 110% son convenciones editables.</w:t>
      </w:r>
    </w:p>
    <w:p>
      <w:pPr>
        <w:pStyle w:val="ListParagraph"/>
        <w:numPr>
          <w:ilvl w:val="0"/>
          <w:numId w:val="2"/>
        </w:numPr>
        <w:spacing w:after="60" w:line="290"/>
      </w:pPr>
      <w:r>
        <w:rPr>
          <w:b/>
          <w:bCs/>
        </w:rPr>
        <w:t xml:space="preserve">Convención de tiempo del Excel de referencia. </w:t>
      </w:r>
      <w:r>
        <w:t xml:space="preserve">Los flujos de cada año se valoran a precios de inicio de año y se registran al cierre, sin rendimiento ese año; el valor real se deflacta con (1+inf)^t. Es la convención del Excel original. La auditoría independiente estimó que es optimista en cerca de 8% del saldo final nominal y que subestima el rendimiento de equilibrio en 0,13 a 0,17 puntos; en los casos de prueba no cambia el veredicto.</w:t>
      </w:r>
    </w:p>
    <w:p>
      <w:pPr>
        <w:pStyle w:val="ListParagraph"/>
        <w:numPr>
          <w:ilvl w:val="0"/>
          <w:numId w:val="2"/>
        </w:numPr>
        <w:spacing w:after="60" w:line="290"/>
      </w:pPr>
      <w:r>
        <w:rPr>
          <w:b/>
          <w:bCs/>
        </w:rPr>
        <w:t xml:space="preserve">Aporte anual fijo. </w:t>
      </w:r>
      <w:r>
        <w:t xml:space="preserve">El aporte al portafolio se mantiene fijo en términos nominales, como en el Excel original; es conservador. Indexarlo con la inflación puede cambiar el veredicto de «¿alcanza?» en clientes con muchos años de acumulación.</w:t>
      </w:r>
    </w:p>
    <w:p>
      <w:pPr>
        <w:pStyle w:val="ListParagraph"/>
        <w:numPr>
          <w:ilvl w:val="0"/>
          <w:numId w:val="2"/>
        </w:numPr>
        <w:spacing w:after="60" w:line="290"/>
      </w:pPr>
      <w:r>
        <w:rPr>
          <w:b/>
          <w:bCs/>
        </w:rPr>
        <w:t xml:space="preserve">Inflación de pensión. </w:t>
      </w:r>
      <w:r>
        <w:t xml:space="preserve">El supuesto de 1% hace que la pensión pierda poder adquisitivo después del primer pago (a los 95 años conserva cerca de 43% de su valor real inicial). Si el régimen se ajusta con el costo de vida, conviene igualarlo a la inflación general.</w:t>
      </w:r>
    </w:p>
    <w:p>
      <w:pPr>
        <w:pStyle w:val="ListParagraph"/>
        <w:numPr>
          <w:ilvl w:val="0"/>
          <w:numId w:val="2"/>
        </w:numPr>
        <w:spacing w:after="60" w:line="290"/>
      </w:pPr>
      <w:r>
        <w:rPr>
          <w:b/>
          <w:bCs/>
        </w:rPr>
        <w:t xml:space="preserve">Datos descriptivos. </w:t>
      </w:r>
      <w:r>
        <w:t xml:space="preserve">Vivienda, inmuebles, empresa, deudas, reserva, seguros e ingresos de la pareja se registran, pero aún no intervienen en la proyección.</w:t>
      </w:r>
    </w:p>
    <w:p>
      <w:pPr>
        <w:pStyle w:val="ListParagraph"/>
        <w:numPr>
          <w:ilvl w:val="0"/>
          <w:numId w:val="2"/>
        </w:numPr>
        <w:spacing w:after="60" w:line="290"/>
      </w:pPr>
      <w:r>
        <w:rPr>
          <w:b/>
          <w:bCs/>
        </w:rPr>
        <w:t xml:space="preserve">Primer retiro del portafolio. </w:t>
      </w:r>
      <w:r>
        <w:t xml:space="preserve">Es descriptivo por decisión expresa; no entra en la proyección.</w:t>
      </w:r>
    </w:p>
    <w:p>
      <w:pPr>
        <w:pStyle w:val="ListParagraph"/>
        <w:numPr>
          <w:ilvl w:val="0"/>
          <w:numId w:val="2"/>
        </w:numPr>
        <w:spacing w:after="60" w:line="290"/>
      </w:pPr>
      <w:r>
        <w:rPr>
          <w:b/>
          <w:bCs/>
        </w:rPr>
        <w:t xml:space="preserve">Almacenamiento. </w:t>
      </w:r>
      <w:r>
        <w:t xml:space="preserve">Durante el piloto, el repositorio es público y solo debe contener datos ficticios hasta la migración a Azure.</w:t>
      </w:r>
    </w:p>
    <w:p>
      <w:pPr>
        <w:pStyle w:val="Heading1"/>
      </w:pPr>
      <w:r>
        <w:t xml:space="preserve">15. Fundamentos y validación de la metodología del perfil</w:t>
      </w:r>
    </w:p>
    <w:p>
      <w:pPr>
        <w:pStyle w:val="Heading2"/>
      </w:pPr>
      <w:r>
        <w:t xml:space="preserve">15.1 Diagnóstico del esquema anterior</w:t>
      </w:r>
    </w:p>
    <w:p>
      <w:pPr>
        <w:spacing w:after="120" w:line="300"/>
      </w:pPr>
      <w:r>
        <w:t xml:space="preserve">Se simularon 200 000 clientes con un perfil verdadero conocido (actitud de riesgo uniforme entre 0 y 1, dividida en tercios) que responden con error aleatorio. Con el esquema anterior:</w:t>
      </w:r>
    </w:p>
    <w:p>
      <w:pPr>
        <w:pStyle w:val="ListParagraph"/>
        <w:numPr>
          <w:ilvl w:val="0"/>
          <w:numId w:val="2"/>
        </w:numPr>
        <w:spacing w:after="60" w:line="290"/>
      </w:pPr>
      <w:r>
        <w:t xml:space="preserve">Entre 24% y 30% de los moderados verdaderos resultaron conservadores, y entre 13% y 24% de los agresivos, moderados.</w:t>
      </w:r>
    </w:p>
    <w:p>
      <w:pPr>
        <w:pStyle w:val="ListParagraph"/>
        <w:numPr>
          <w:ilvl w:val="0"/>
          <w:numId w:val="2"/>
        </w:numPr>
        <w:spacing w:after="60" w:line="290"/>
      </w:pPr>
      <w:r>
        <w:t xml:space="preserve">Con respuestas variadas o al azar, solo 3% llegaba a agresivo: el tramo conservador (0 a 4) era más ancho que el agresivo (7 a 10).</w:t>
      </w:r>
    </w:p>
    <w:p>
      <w:pPr>
        <w:pStyle w:val="ListParagraph"/>
        <w:numPr>
          <w:ilvl w:val="0"/>
          <w:numId w:val="2"/>
        </w:numPr>
        <w:spacing w:after="60" w:line="290"/>
      </w:pPr>
      <w:r>
        <w:t xml:space="preserve">La antigua pregunta 10, tratada como conocimiento, tenía poder de veto sobre las otras nueve respuestas.</w:t>
      </w:r>
    </w:p>
    <w:p>
      <w:pPr>
        <w:pStyle w:val="ListParagraph"/>
        <w:numPr>
          <w:ilvl w:val="0"/>
          <w:numId w:val="2"/>
        </w:numPr>
        <w:spacing w:after="60" w:line="290"/>
      </w:pPr>
      <w:r>
        <w:t xml:space="preserve">El acierto global fue de 79% a 86%, según el nivel de error de respuesta.</w:t>
      </w:r>
    </w:p>
    <w:p>
      <w:pPr>
        <w:pStyle w:val="Heading2"/>
      </w:pPr>
      <w:r>
        <w:t xml:space="preserve">15.2 Diseño de la validación</w:t>
      </w:r>
    </w:p>
    <w:p>
      <w:pPr>
        <w:spacing w:after="120" w:line="300"/>
      </w:pPr>
      <w:r>
        <w:t xml:space="preserve">Cada cliente simulado tiene una actitud verdadera θ entre 0 y 1. Para cada pregunta elige la opción más cercana a θ × (opciones − 1) más un error normal. El error es de 0,6 opciones en las preguntas de conducta y de 1,1 en las de percepción, en línea con la evidencia de que las de conducta predicen mejor (Guillemette et al., 2012). Se mide el acierto: la proporción de clientes cuyo perfil asignado coincide con el verdadero. Es la medida de precisión de clasificación de Livingston y Lewis (1995).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Escenario</w:t>
            </w:r>
          </w:p>
        </w:tc>
        <w:tc>
          <w:tcPr>
            <w:tcW w:type="dxa" w:w="2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Pesos iguales</w:t>
            </w:r>
          </w:p>
        </w:tc>
        <w:tc>
          <w:tcPr>
            <w:tcW w:type="dxa" w:w="2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Pesos 2:1 (adoptado)</w:t>
            </w:r>
          </w:p>
        </w:tc>
      </w:tr>
      <w:tr>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Todas las preguntas con el mismo error (0,8 opciones)</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85,6%</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84,5%</w:t>
            </w:r>
          </w:p>
        </w:tc>
      </w:tr>
      <w:tr>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 más precisa que percepción (0,6 y 1,1)</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84,7%</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86,0%</w:t>
            </w:r>
          </w:p>
        </w:tc>
      </w:tr>
    </w:tbl>
    <w:p>
      <w:pPr>
        <w:spacing w:after="80"/>
      </w:pPr>
    </w:p>
    <w:p>
      <w:pPr>
        <w:pStyle w:val="Heading2"/>
      </w:pPr>
      <w:r>
        <w:t xml:space="preserve">15.3 ¿Es posible llegar a 95% de acierto?</w:t>
      </w:r>
    </w:p>
    <w:p>
      <w:pPr>
        <w:spacing w:after="120" w:line="300"/>
      </w:pPr>
      <w:r>
        <w:t xml:space="preserve">Con diez preguntas de autoevaluación, ninguna regla de puntuación clasifica automáticamente al 95% de todos los clientes: el límite lo fija el error de medición de las respuestas, no la fórmula. Duplicar el cuestionario a 20 preguntas eleva el acierto apenas a 89,9%. Esto concuerda con la evidencia: los cuestionarios explican una parte reducida de las decisiones reales de inversión (Klement, 2015), y los errores se concentran cerca de los cortes (Livingston y Lewis, 1995). Sí es posible llegar a 95% en los perfiles que el sistema asigna de forma automática, si los casos cercanos a un corte se resuelven con el asesor: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Zona de frontera</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Casos que revisa el asesor</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Acierto en los demás casos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zona</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86,0%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0,25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11,0%</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89,5%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0,50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21,3%</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0,75 puntos (adoptado)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32,7%</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94,9%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1,00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43,7%</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96,7%</w:t>
            </w:r>
          </w:p>
        </w:tc>
      </w:tr>
    </w:tbl>
    <w:p>
      <w:pPr>
        <w:spacing w:after="80"/>
      </w:pPr>
    </w:p>
    <w:p>
      <w:pPr>
        <w:spacing w:after="120" w:line="300"/>
      </w:pPr>
      <w:r>
        <w:t xml:space="preserve">Se adoptó ± 0,75 puntos. Cerca de un tercio de los clientes recibe un aviso de frontera y el asesor confirma su perfil en la conversación; el resto queda clasificado con un acierto simulado de 95%. Esta cifra depende de los supuestos de error de la simulación y debe confirmarse con datos reales.</w:t>
      </w:r>
    </w:p>
    <w:p>
      <w:pPr>
        <w:pStyle w:val="Heading2"/>
      </w:pPr>
      <w:r>
        <w:t xml:space="preserve">15.4 Plan de validación con clientes reales</w:t>
      </w:r>
    </w:p>
    <w:p>
      <w:pPr>
        <w:spacing w:after="120" w:line="300"/>
      </w:pPr>
      <w:r>
        <w:t xml:space="preserve">Las escalas validadas en la literatura se calibraron con muestras de clientes; la de Grable y Lytton, por ejemplo, reporta una confiabilidad α de Cronbach de 0,75 a 0,77 (Kuzniak et al., 2015). Se propone, con las primeras 150 a 200 respuestas:</w:t>
      </w:r>
    </w:p>
    <w:p>
      <w:pPr>
        <w:pStyle w:val="ListParagraph"/>
        <w:numPr>
          <w:ilvl w:val="0"/>
          <w:numId w:val="2"/>
        </w:numPr>
        <w:spacing w:after="60" w:line="290"/>
      </w:pPr>
      <w:r>
        <w:rPr>
          <w:b/>
          <w:bCs/>
        </w:rPr>
        <w:t xml:space="preserve">Confiabilidad. </w:t>
      </w:r>
      <w:r>
        <w:t xml:space="preserve">Calcular el α de Cronbach (Cronbach, 1951) de la disposición y de cada subescala; el umbral habitual es 0,70 (Nunnally y Bernstein, 1994). Eliminar o reformular las preguntas que bajen la confiabilidad.</w:t>
      </w:r>
    </w:p>
    <w:p>
      <w:pPr>
        <w:pStyle w:val="ListParagraph"/>
        <w:numPr>
          <w:ilvl w:val="0"/>
          <w:numId w:val="2"/>
        </w:numPr>
        <w:spacing w:after="60" w:line="290"/>
      </w:pPr>
      <w:r>
        <w:rPr>
          <w:b/>
          <w:bCs/>
        </w:rPr>
        <w:t xml:space="preserve">Estabilidad. </w:t>
      </w:r>
      <w:r>
        <w:t xml:space="preserve">Repetir el cuestionario a una submuestra después de cuatro a seis semanas (prueba y reprueba).</w:t>
      </w:r>
    </w:p>
    <w:p>
      <w:pPr>
        <w:pStyle w:val="ListParagraph"/>
        <w:numPr>
          <w:ilvl w:val="0"/>
          <w:numId w:val="2"/>
        </w:numPr>
        <w:spacing w:after="60" w:line="290"/>
      </w:pPr>
      <w:r>
        <w:rPr>
          <w:b/>
          <w:bCs/>
        </w:rPr>
        <w:t xml:space="preserve">Validez de criterio. </w:t>
      </w:r>
      <w:r>
        <w:t xml:space="preserve">Comparar el perfil con la asignación de activos que el cliente mantiene o elige y con el juicio independiente del asesor.</w:t>
      </w:r>
    </w:p>
    <w:p>
      <w:pPr>
        <w:pStyle w:val="ListParagraph"/>
        <w:numPr>
          <w:ilvl w:val="0"/>
          <w:numId w:val="2"/>
        </w:numPr>
        <w:spacing w:after="60" w:line="290"/>
      </w:pPr>
      <w:r>
        <w:rPr>
          <w:b/>
          <w:bCs/>
        </w:rPr>
        <w:t xml:space="preserve">Recalibración. </w:t>
      </w:r>
      <w:r>
        <w:t xml:space="preserve">Estimar los pesos con las cargas de un análisis factorial o con un modelo de respuesta graduada de la teoría de respuesta al ítem (Samejima, 1969; Embretson y Reise, 2000), y fijar los cortes con la distribución observada. Con un modelo de este tipo puede medirse el error de cada cliente y ajustar la zona de frontera de forma individual.</w:t>
      </w:r>
    </w:p>
    <w:p>
      <w:pPr>
        <w:pStyle w:val="Heading1"/>
      </w:pPr>
      <w:r>
        <w:t xml:space="preserve">16. Bibliografía</w:t>
      </w:r>
    </w:p>
    <w:p>
      <w:pPr>
        <w:spacing w:after="100" w:line="280"/>
        <w:ind w:left="360" w:hanging="360"/>
      </w:pPr>
      <w:r>
        <w:rPr>
          <w:sz w:val="20"/>
          <w:szCs w:val="20"/>
        </w:rPr>
        <w:t xml:space="preserve">Asamblea Legislativa de la República de Costa Rica (2000). Ley de Protección al Trabajador, n.º 7983. Superintendencia de Pensiones: https://www.supen.fi.cr</w:t>
      </w:r>
    </w:p>
    <w:p>
      <w:pPr>
        <w:spacing w:after="100" w:line="280"/>
        <w:ind w:left="360" w:hanging="360"/>
      </w:pPr>
      <w:r>
        <w:rPr>
          <w:sz w:val="20"/>
          <w:szCs w:val="20"/>
        </w:rPr>
        <w:t xml:space="preserve">BAC Credomatic (s. f.). Pensión complementaria obligatoria: composición del ROP y del FCL. https://www.baccredomatic.com/es-cr/personas/pensiones/pension-obligatoria</w:t>
      </w:r>
    </w:p>
    <w:p>
      <w:pPr>
        <w:spacing w:after="100" w:line="280"/>
        <w:ind w:left="360" w:hanging="360"/>
      </w:pPr>
      <w:r>
        <w:rPr>
          <w:sz w:val="20"/>
          <w:szCs w:val="20"/>
        </w:rPr>
        <w:t xml:space="preserve">Cronbach, L. J. (1951). Coefficient alpha and the internal structure of tests. Psychometrika, 16(3), 297–334.</w:t>
      </w:r>
    </w:p>
    <w:p>
      <w:pPr>
        <w:spacing w:after="100" w:line="280"/>
        <w:ind w:left="360" w:hanging="360"/>
      </w:pPr>
      <w:r>
        <w:rPr>
          <w:sz w:val="20"/>
          <w:szCs w:val="20"/>
        </w:rPr>
        <w:t xml:space="preserve">El Financiero (s. f.). Editorial: Reformas inteligentes al ROP. https://www.elfinancierocr.com</w:t>
      </w:r>
    </w:p>
    <w:p>
      <w:pPr>
        <w:spacing w:after="100" w:line="280"/>
        <w:ind w:left="360" w:hanging="360"/>
      </w:pPr>
      <w:r>
        <w:rPr>
          <w:sz w:val="20"/>
          <w:szCs w:val="20"/>
        </w:rPr>
        <w:t xml:space="preserve">Embretson, S. E., y Reise, S. P. (2000). Item response theory for psychologists. Lawrence Erlbaum Associates.</w:t>
      </w:r>
    </w:p>
    <w:p>
      <w:pPr>
        <w:spacing w:after="100" w:line="280"/>
        <w:ind w:left="360" w:hanging="360"/>
      </w:pPr>
      <w:r>
        <w:rPr>
          <w:sz w:val="20"/>
          <w:szCs w:val="20"/>
        </w:rPr>
        <w:t xml:space="preserve">European Securities and Markets Authority (2018). Guidelines on certain aspects of the MiFID II suitability requirements (ESMA35-43-1163).</w:t>
      </w:r>
    </w:p>
    <w:p>
      <w:pPr>
        <w:spacing w:after="100" w:line="280"/>
        <w:ind w:left="360" w:hanging="360"/>
      </w:pPr>
      <w:r>
        <w:rPr>
          <w:sz w:val="20"/>
          <w:szCs w:val="20"/>
        </w:rPr>
        <w:t xml:space="preserve">Financial Services Authority (2011). Assessing suitability: Establishing the risk a customer is willing and able to take and making a suitable investment selection (FG11/05).</w:t>
      </w:r>
    </w:p>
    <w:p>
      <w:pPr>
        <w:spacing w:after="100" w:line="280"/>
        <w:ind w:left="360" w:hanging="360"/>
      </w:pPr>
      <w:r>
        <w:rPr>
          <w:sz w:val="20"/>
          <w:szCs w:val="20"/>
        </w:rPr>
        <w:t xml:space="preserve">Grable, J. E., y Lytton, R. H. (1999). Financial risk tolerance revisited: The development of a risk assessment instrument. Financial Services Review, 8(3), 163–181.</w:t>
      </w:r>
    </w:p>
    <w:p>
      <w:pPr>
        <w:spacing w:after="100" w:line="280"/>
        <w:ind w:left="360" w:hanging="360"/>
      </w:pPr>
      <w:r>
        <w:rPr>
          <w:sz w:val="20"/>
          <w:szCs w:val="20"/>
        </w:rPr>
        <w:t xml:space="preserve">Guillemette, M. A., Finke, M., y Gilliam, J. (2012). Risk tolerance questions to best determine client portfolio allocation preferences. Journal of Financial Planning, mayo de 2012.</w:t>
      </w:r>
    </w:p>
    <w:p>
      <w:pPr>
        <w:spacing w:after="100" w:line="280"/>
        <w:ind w:left="360" w:hanging="360"/>
      </w:pPr>
      <w:r>
        <w:rPr>
          <w:sz w:val="20"/>
          <w:szCs w:val="20"/>
        </w:rPr>
        <w:t xml:space="preserve">Klement, J. (2015). Investor risk profiling: An overview. CFA Institute Research Foundation.</w:t>
      </w:r>
    </w:p>
    <w:p>
      <w:pPr>
        <w:spacing w:after="100" w:line="280"/>
        <w:ind w:left="360" w:hanging="360"/>
      </w:pPr>
      <w:r>
        <w:rPr>
          <w:sz w:val="20"/>
          <w:szCs w:val="20"/>
        </w:rPr>
        <w:t xml:space="preserve">Kuzniak, S., Rabbani, A., Heo, W., Ruiz-Menjivar, J., y Grable, J. E. (2015). The Grable and Lytton risk-tolerance scale: A 15-year retrospective. Financial Services Review, 24, 177–192.</w:t>
      </w:r>
    </w:p>
    <w:p>
      <w:pPr>
        <w:spacing w:after="100" w:line="280"/>
        <w:ind w:left="360" w:hanging="360"/>
      </w:pPr>
      <w:r>
        <w:rPr>
          <w:sz w:val="20"/>
          <w:szCs w:val="20"/>
        </w:rPr>
        <w:t xml:space="preserve">Livingston, S. A., y Lewis, C. (1995). Estimating the consistency and accuracy of classifications based on test scores. Journal of Educational Measurement, 32(2), 179–197.</w:t>
      </w:r>
    </w:p>
    <w:p>
      <w:pPr>
        <w:spacing w:after="100" w:line="280"/>
        <w:ind w:left="360" w:hanging="360"/>
      </w:pPr>
      <w:r>
        <w:rPr>
          <w:sz w:val="20"/>
          <w:szCs w:val="20"/>
        </w:rPr>
        <w:t xml:space="preserve">Maginn, J. L., Tuttle, D. L., Pinto, J. E., y McLeavey, D. W. (Eds.) (2007). Managing investment portfolios: A dynamic process (3.ª ed.). CFA Institute y John Wiley &amp; Sons.</w:t>
      </w:r>
    </w:p>
    <w:p>
      <w:pPr>
        <w:spacing w:after="100" w:line="280"/>
        <w:ind w:left="360" w:hanging="360"/>
      </w:pPr>
      <w:r>
        <w:rPr>
          <w:sz w:val="20"/>
          <w:szCs w:val="20"/>
        </w:rPr>
        <w:t xml:space="preserve">Nunnally, J. C., y Bernstein, I. H. (1994). Psychometric theory (3.ª ed.). McGraw-Hill.</w:t>
      </w:r>
    </w:p>
    <w:p>
      <w:pPr>
        <w:spacing w:after="100" w:line="280"/>
        <w:ind w:left="360" w:hanging="360"/>
      </w:pPr>
      <w:r>
        <w:rPr>
          <w:sz w:val="20"/>
          <w:szCs w:val="20"/>
        </w:rPr>
        <w:t xml:space="preserve">Rice, D. (2005). Relevamiento de 131 cuestionarios de perfil de riesgo utilizados en los Estados Unidos. Citado en Klement (2015).</w:t>
      </w:r>
    </w:p>
    <w:p>
      <w:pPr>
        <w:spacing w:after="100" w:line="280"/>
        <w:ind w:left="360" w:hanging="360"/>
      </w:pPr>
      <w:r>
        <w:rPr>
          <w:sz w:val="20"/>
          <w:szCs w:val="20"/>
        </w:rPr>
        <w:t xml:space="preserve">Samejima, F. (1969). Estimation of latent ability using a response pattern of graded scores. Psychometrika Monograph Supplement, 34(4, parte 2), monografía 17.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2026-10-05T18:20:43.658Z</dcterms:created>
  <dcterms:modified xsi:type="dcterms:W3CDTF">2026-10-05T18:20:43.658Z</dcterms:modified>
</cp:coreProperties>
</file>

<file path=docProps/custom.xml><?xml version="1.0" encoding="utf-8"?>
<Properties xmlns="http://schemas.openxmlformats.org/officeDocument/2006/custom-properties" xmlns:vt="http://schemas.openxmlformats.org/officeDocument/2006/docPropsVTypes"/>
</file>