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 xml:space="preserve">Chotocruz &amp; Co. · documento interno · versión 5.31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 xml:space="preserve">El método da una conclusión de riesgo, con su puntaje de 0 a 10 y su perfil, y la acompaña con el detalle de activos y pasivos del cliente:</w:t>
      </w:r>
    </w:p>
    <w:p>
      <w:pPr>
        <w:pStyle w:val="ListParagraph"/>
        <w:numPr>
          <w:ilvl w:val="0"/>
          <w:numId w:val="2"/>
        </w:numPr>
        <w:spacing w:after="60" w:line="290"/>
      </w:pPr>
      <w:r>
        <w:rPr>
          <w:b/>
          <w:bCs/>
        </w:rPr>
        <w:t xml:space="preserve">Perfil de riesgo. Sale solo de las diez preguntas del cuestionario 1. Su puntaje es el promedio ponderado de las diez respuestas y se ubica en uno de los cinco perfiles. La cartera se asigna con este perfil.</w:t>
      </w:r>
    </w:p>
    <w:p>
      <w:pPr>
        <w:pStyle w:val="ListParagraph"/>
        <w:numPr>
          <w:ilvl w:val="0"/>
          <w:numId w:val="2"/>
        </w:numPr>
        <w:spacing w:after="60" w:line="290"/>
      </w:pPr>
      <w:r>
        <w:rPr>
          <w:b/>
          <w:bCs/>
        </w:rPr>
        <w:t xml:space="preserve">Detalle de activos y pasivos. Lista los activos declarados, del más líquido al menos líquido, y los pasivos, del corto al largo plazo, con el patrimonio neto. Desde la versión 5.20 reemplaza al perfil financiero: la capacidad financiera ya no limita la cartera.</w:t>
      </w:r>
    </w:p>
    <w:p>
      <w:pPr>
        <w:pStyle w:val="ListParagraph"/>
        <w:numPr>
          <w:ilvl w:val="0"/>
          <w:numId w:val="2"/>
        </w:numPr>
        <w:spacing w:after="60" w:line="290"/>
      </w:pPr>
      <w:r>
        <w:t xml:space="preserve">La proyección usa el rendimiento de la cartera del perfil de riesgo (rendimiento esperado) y lo compara con el rendimiento de equilibrio (rendimiento mínimo necesario).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posible pérdida en un año desfavorable de hasta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posible pérdida en un año desfavorable de hasta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posible pérdida en un año desfavorable de hasta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posible pérdida en un año desfavorable de hasta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posible pérdida en un año desfavorable de hasta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 de la cartera sugerida</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Cartera modelo → cartera sugerida (renta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 50% · 30% (dentro de los topes)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40% · 42,5% · 17,5% → 35% · 47,5%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 · 35% · 5% → 50% · 45%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7,3%</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77,5% · 17,5% · 5% → 70% · 25%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 0% · 5% → 90% · 5%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 xml:space="preserve">Topes por perfil y cartera sugerida</w:t>
      </w:r>
    </w:p>
    <w:p>
      <w:pPr>
        <w:spacing w:after="120" w:line="300"/>
      </w:pPr>
      <w:r>
        <w:t xml:space="preserve">Cada perfil tiene una política de inversión con un mínimo y un máximo por clase de activo (renta variable, renta fija, efectivo y alternativos), como las bandas de asignación estratégica que usan la banca privada y los gestores de patrimonio (Maginn et al., 2007; CFA Institute, 2018). Los topes, el porcentaje específico de cada perfil y el rendimiento esperado de cada clase se fijan en los valores de la firma del dashboard. Esos topes son el punto de partida: como cada cliente tiene sus particularidades, el asesor puede cambiar, en los supuestos de un cliente, los topes y el porcentaje específico de su perfil. Ese cambio solo afecta a ese cliente, queda guardado con sus supuestos y la ficha y el Excel indican que los topes son propios del cliente. Al abrir los supuestos de un cliente, el dashboard muestra primero la conclusión de su perfil de riesgo (perfil, puntaje, tolerancia y apetito), sus topes, la cartera sugerida y su rendimiento esperado.</w:t>
      </w:r>
    </w:p>
    <w:p>
      <w:pPr>
        <w:spacing w:after="120" w:line="300"/>
      </w:pPr>
      <w:r>
        <w:t xml:space="preserve">Bandas base. Renta variable: conservador 0–20%, moderado conservador 20–35%, moderado 35–50%, moderado agresivo 50–70% y agresivo 70–90%. Renta fija: 50–90%, 40–75%, 30–60%, 15–45% y 0–30%. Efectivo: 5–40%, 5–30%, 5–20%, 0–15% y 0–10%. Alternativos: 0–5%, 0–10%, 0–10%, 0–15% y 0–20%. Son más prudentes que las categorías de asignación de Morningstar para fondos de EE. UU. (15–30%, 30–50%, 50–70%, 70–85% y más de 85% en renta variable).</w:t>
      </w:r>
    </w:p>
    <w:p>
      <w:pPr>
        <w:spacing w:after="120" w:line="300"/>
      </w:pPr>
      <w:r>
        <w:t xml:space="preserve">Regla de ajuste. La cartera sugerida parte de la cartera modelo del perfil o, si el asesor lo fija, de su porcentaje específico (debe sumar 100%). Cada clase se lleva dentro de su tope: lo que excede el máximo pasa primero a renta fija, luego a efectivo y a alternativos; lo que falta para el mínimo sale de renta variable, alternativos y renta fija. El dashboard, la ficha PDF, la presentación y el Excel indican si la cartera se ajustó y cuáles son los topes del perfil.</w:t>
      </w:r>
    </w:p>
    <w:p>
      <w:pPr>
        <w:spacing w:after="120" w:line="300"/>
      </w:pPr>
      <w:r>
        <w:t xml:space="preserve">Rendimiento esperado de la cartera = suma de (peso de cada clase × rendimiento esperado de la clase). Valores base: renta variable 8,31%, renta fija 5,46%, efectivo 2,03% y alternativos 6,5%; los tres primeros reproducen exactamente el rendimiento de las carteras modelo (5%, 6%, 7%, 7,5% y 8%). En el riesgo histórico, los alternativos se aproximan con mitad renta variable y mitad renta fija.</w:t>
      </w:r>
    </w:p>
    <w:p>
      <w:pPr>
        <w:spacing w:after="120" w:line="300"/>
      </w:pPr>
      <w:r>
        <w:t xml:space="preserve">Ejemplo. La cartera modelo moderada (60% · 35% · 5%) supera el máximo de 50% en renta variable: la cartera sugerida queda en 50% · 45% · 5% y rinde 6,7% (0,50 × 8,31% + 0,45 × 5,46% + 0,05 × 2,03%).</w:t>
      </w:r>
    </w:p>
    <w:p>
      <w:pPr>
        <w:pStyle w:val="Heading2"/>
      </w:pPr>
      <w:r>
        <w:t xml:space="preserve">Porcentaje del portafolio en colones para cubrir gastos</w:t>
      </w:r>
    </w:p>
    <w:p>
      <w:pPr>
        <w:spacing w:after="120" w:line="300"/>
      </w:pPr>
      <w:r>
        <w:t xml:space="preserve">Responde cuánto del portafolio debe estar en bonos en colones (Costa Rica) para cubrir los gastos en colones del cliente, y cuánto de la renta fija de su cartera va a bonos en dólares (EE. UU.). Paso 1, gasto anual por moneda: los gastos recurrentes del cuestionario, en valor de hoy, según la moneda en que se declararon (el gasto familiar, según el porcentaje que el cliente paga en dólares).</w:t>
      </w:r>
    </w:p>
    <w:p>
      <w:pPr>
        <w:spacing w:after="120" w:line="300"/>
      </w:pPr>
      <w:r>
        <w:t xml:space="preserve">Paso 2, capital requerido en Costa Rica = gasto anual en colones ÷ rendimiento de los bonos en colones: el capital cuyos intereses pagan ese gasto sin consumir el principal. El rendimiento no es un rango fijo: es un solo valor que el asesor digita según el mercado del día (por ejemplo 6,0% hoy; dentro de un mes o un año puede ser 6,5%, 3% o 12%). La firma define el valor por defecto en sus valores de la firma y el asesor lo cambia en los supuestos de cada cliente; el capital requerido, el reparto de la renta fija y las conclusiones se recalculan con ese valor. Ejemplo: ₡54 000 000 al año ÷ 6,0% = ₡900 000 000 (US$2 000 000 al tipo de cambio de 450).</w:t>
      </w:r>
    </w:p>
    <w:p>
      <w:pPr>
        <w:spacing w:after="120" w:line="300"/>
      </w:pPr>
      <w:r>
        <w:t xml:space="preserve">Paso 3, reparto de la renta fija de la cartera sugerida (según el perfil y sus topes): primero bonos en Costa Rica, hasta el capital requerido; el resto, bonos en EE. UU. Si el capital requerido supera la renta fija de la cartera, el dashboard indica si cabe dentro del tope de renta fija del perfil. Como referencia, muestra también el capital requerido si los ingresos en colones del cliente (pensión, alquileres) pagan parte de esos gastos. Está en el dashboard (página 2), la ficha, la presentación y la hoja Cliente del Excel; el dashboard, la ficha y la presentación lo muestran en tres pasos: (1) gasto del cliente al mes y al año, en colones y en dólares, y el peso de cada moneda en el gasto total; (2) capital en colones = gasto anual en colones ÷ rendimiento de los bonos en colones, y su porcentaje del portafolio; (3) la renta fija de la cartera sugerida es el 100% y se reparte entre Costa Rica (hasta el capital requerido) y EE. UU. (el resto), en porcentajes que suman 100%; los montos quedan en el detalle. El detalle de las tablas queda debajo. Margen del plan, metodología de cálculo: cada límite se obtiene por bisección (40 pruebas por variable); en cada prueba se recalcula la proyección completa y se verifica el objetivo.</w:t>
      </w:r>
    </w:p>
    <w:p>
      <w:pPr>
        <w:spacing w:after="120" w:line="300"/>
      </w:pPr>
      <w:r>
        <w:t xml:space="preserve">Ingresos y gastos de los próximos 12 meses: sustituye a «Ingresos y gastos después del retiro». Mes a mes, desde el mes del cuestionario, sin promedios: los recurrentes del primer año entre los meses que cuenta ese año y los del año siguiente entre 12. Los montos puntuales (de una vez, metas y retiros del portafolio) solo tienen año: van en una fila por año y entran al total.</w:t>
      </w:r>
    </w:p>
    <w:p>
      <w:pPr>
        <w:spacing w:after="120" w:line="300"/>
      </w:pPr>
      <w:r>
        <w:t xml:space="preserve">Margen del plan: el dashboard, la ficha, la presentación y el Excel muestran la metodología de cálculo de cada cifra. Cada límite se obtiene cambiando una sola variable y recalculando la proyección con una búsqueda binaria. Gasto familiar: límite = gasto actual × el mayor factor con el que se cumple el objetivo. Herencia: en términos reales; saldo final en dólares de hoy = saldo final nominal ÷ (1 + inflación internacional)^años. El portafolio final se muestra en términos reales y nominales. ¿Alcanza el plan? (antes de las conclusiones): la respuesta va primero; un diagrama de flujo (Sankey) muestra de dónde sale el dinero del plan en todo el horizonte (portafolio inicial, ingresos, ventas, aportes y rendimientos) y a dónde va (gastos recurrentes, gastos extraordinarios y metas, y saldo final); luego, sus razones (los rendimientos frente al faltante de flujo, el margen de rendimiento, el saldo del portafolio y la herencia). Conclusiones para la toma de decisiones (sustituyen a «Permanencia del cliente»): dependencia del portafolio (ingresos propios sobre gastos), tasa de retiro frente a la referencia del 4% (Bengen, 1994), rendimiento real, liquidez de cinco años frente a la renta fija y el efectivo, exposición al colón y liquidez del patrimonio. La sección «Patrimonio total» se retiró: la sustituye el detalle de activos y pasivos. La tasa de retiro inicial se mide en el primer año completo de retiro.</w:t>
      </w:r>
    </w:p>
    <w:p>
      <w:pPr>
        <w:pStyle w:val="Heading2"/>
      </w:pPr>
      <w:r>
        <w:t xml:space="preserve">1.5 Capacidad financiera (referencia: desde la versión 5.20 no asigna la cartera)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de cinco años (déficit, metas y retiros adicionales)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 xml:space="preserve">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no se mide,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 xml:space="preserve">En familias, el conocimiento se mide con la pregunta 10 (alternativa única de inversión), que ya forma parte del perfil de riesgo; no se aplica otra vez. En instituciones se pregunta aparte y funcionaba como techo del perfil financiero hasta la versión 5.19: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 xml:space="preserve">1.7 Activos y pasivos</w:t>
      </w:r>
    </w:p>
    <w:p>
      <w:pPr>
        <w:shd w:fill="F4F5EE" w:color="auto" w:val="clear"/>
        <w:spacing w:after="120" w:before="60"/>
        <w:ind w:left="360"/>
      </w:pPr>
      <w:r>
        <w:rPr>
          <w:rFonts w:ascii="Consolas" w:cs="Consolas" w:eastAsia="Consolas" w:hAnsi="Consolas"/>
          <w:color w:val="2B3014"/>
          <w:sz w:val="19"/>
          <w:szCs w:val="19"/>
        </w:rPr>
        <w:t xml:space="preserve">Activos, en orden de liquidez: portafolio de inversión (inmediata); pensión voluntaria y FCL (media); ROP, inmuebles y empresas (baja); capital privado (muy baja, por el monto total invertido); vivienda principal (muy baja, de uso propio, por su valor estimado). Las empresas se toman según la participación del cliente.</w:t>
      </w:r>
    </w:p>
    <w:p>
      <w:pPr>
        <w:shd w:fill="F4F5EE" w:color="auto" w:val="clear"/>
        <w:spacing w:after="120" w:before="60"/>
        <w:ind w:left="360"/>
      </w:pPr>
      <w:r>
        <w:rPr>
          <w:rFonts w:ascii="Consolas" w:cs="Consolas" w:eastAsia="Consolas" w:hAnsi="Consolas"/>
          <w:color w:val="2B3014"/>
          <w:sz w:val="19"/>
          <w:szCs w:val="19"/>
        </w:rPr>
        <w:t xml:space="preserve">Pasivos, en orden de exigibilidad: según el año en que terminan. Son de corto plazo si terminan a más tardar el año siguiente al inicio de la proyección; las deudas sin plazo indicado van al final, como largo plazo.</w:t>
      </w:r>
    </w:p>
    <w:p>
      <w:pPr>
        <w:spacing w:after="120" w:line="300"/>
      </w:pPr>
      <w:r>
        <w:t xml:space="preserve">Patrimonio neto = total de activos − total de pasivos. Activos líquidos = el portafolio de inversión sobre el total de activos. Todo en dólares, con el tipo de cambio del cliente, e incluye la vivienda principal con el valor estimado que declara el cliente (pregunta 14; si la vivienda es alquilada, se pide el alquiler mensual, que es informativo porque ya está en el gasto familiar). En instituciones no se muestra.</w:t>
      </w:r>
    </w:p>
    <w:p>
      <w:pPr>
        <w:spacing w:after="120" w:line="300"/>
      </w:pPr>
      <w:r>
        <w:rPr>
          <w:b/>
          <w:bCs/>
        </w:rPr>
        <w:t xml:space="preserve">Ejemplo. Cliente de ejemplo: activos por US$1 530 000 y pasivos por US$135 000, de los que US$3 000 son de corto plazo; patrimonio neto de US$1 395 000. El portafolio de inversión es el 16,3% de los activos.</w:t>
      </w:r>
    </w:p>
    <w:p>
      <w:pPr>
        <w:pStyle w:val="Heading2"/>
      </w:pPr>
      <w:r>
        <w:t>1.8 Presentación de los resultados</w:t>
      </w:r>
    </w:p>
    <w:p>
      <w:pPr>
        <w:spacing w:after="120" w:line="300"/>
      </w:pPr>
      <w:r>
        <w:t xml:space="preserve">El dashboard, la ficha PDF, la presentación de PowerPoint y el Excel muestran el perfil de riesgo y el detalle de activos y pasivos. El encabezado del dashboard tiene seis cuadros con la misma estructura (título, cifra y una línea de contexto): perfil de riesgo, rendimiento esperado (el de la cartera del perfil de riesgo), rendimiento mínimo necesario (el rendimiento de equilibrio, en rojo si supera al esperado),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 xml:space="preserve">Detalle de activos y pasivos: total de activos, total de pasivos con los de corto plazo, patrimonio neto y activos líquidos; tabla de activos (liquidez, moneda, valor en dólares y peso en el total) y tabla de pasivos (exigibilidad, moneda y saldo).</w:t>
      </w:r>
    </w:p>
    <w:p>
      <w:pPr>
        <w:pStyle w:val="ListParagraph"/>
        <w:numPr>
          <w:ilvl w:val="0"/>
          <w:numId w:val="2"/>
        </w:numPr>
        <w:spacing w:after="60" w:line="290"/>
      </w:pPr>
      <w:r>
        <w:rPr>
          <w:b/>
          <w:bCs/>
        </w:rPr>
        <w:t xml:space="preserve">Presentación de PowerPoint (botón «Descargar PPT» del dashboard). Abre con una portada (nombre del cliente, fecha y carácter confidencial) y una introducción (propósito del documento, contenido y alcance de las cifras); la ficha PDF incluye la misma introducción en su primera página. Sigue este orden: (1) objetivos del cliente: independencia financiera, gasto familiar, destino del patrimonio, horizonte y las metas y compromisos que el plan debe cubrir; (2) perfil del cliente: plano de tolerancia y apetito con el puntaje del perfil de riesgo y resumen de activos y pasivos; (3) perfil del cliente: cifras clave (perfil de riesgo, rendimiento esperado, rendimiento mínimo necesario, portafolio mínimo requerido y tasa de retiro inicial) y tablas de activos y pasivos; (4) ingresos y gastos después del retiro, año por año, con sus promedios y la cobertura de los gastos; (5) ingresos y gastos por moneda: cada monto en la moneda en que el cliente lo declaró, en cuatro columnas (colones, colones en dólares al tipo de cambio del cliente, dólares y total dolarizado: colones en dólares más dólares), separado en ingresos y gastos recurrentes al año y en montos puntuales del horizonte (ingresos extraordinarios, ventas de activos, gastos de una vez y metas), con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sigue el mismo orden: los objetivos del cliente abren la página 1, antes del perfil; en la página 2, después de las carteras, van los ingresos y gastos después del retiro, los ingresos y gastos por moneda, la proyección y los escenarios. Las metas y compromisos se agrupan en metas, gastos extraordinarios, apoyo a dependientes y entradas al portafolio.</w:t>
      </w:r>
    </w:p>
    <w:p>
      <w:pPr>
        <w:pStyle w:val="Heading2"/>
      </w:pPr>
      <w:r>
        <w:t>1.9 Fundamento</w:t>
      </w:r>
    </w:p>
    <w:p>
      <w:pPr>
        <w:spacing w:after="120" w:line="300"/>
      </w:pPr>
      <w:r>
        <w:t xml:space="preserve">La tolerancia y el apetito miden la actitud ante el riesgo (Grable y Lytton, 1999). La cartera se asigna con el perfil de riesgo: a un cliente no se le asigna más riesgo del que declara tolerar, aunque su patrimonio lo permita (Cordell, 2001; ESMA, 2018). El detalle de activos y pasivos da el contexto patrimonial para la recomendación.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mientras dure. No incluye el ingreso de la pareja, la pensión ni otros ingresos recurrentes.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mensual × 12 de cada deuda hasta el año en que termina, sin indexar (hoja «Gastos»). El cliente indica si esas cuotas ya están en su gasto familiar: si es así, no se suman de nuevo. Sin límite de cantidad. Pasivo en el detalle de activos y pasivos, según el año en que termina.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Primer activo del detalle de activos y pasivos (liquidez inmediata). El dashboard calcula además el peso del portafolio con los activos declarados, como dato de control;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Empresas propias: cantidad y, por cada una, nombre, participación, valor estimado, plan de venta o traspaso y destino de la venta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de cada empresa. Todas las empresas entran al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privado: monto total invertido y detalle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total invertido (sin porcentaje de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 (si es «Otra», el nombre de la meta; si es con crédito, la tasa y el plazo)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 cuotas de crédito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Las metas pagadas con una salida del portafolio son gastos extraordinarios de su año. Las financiadas con crédito no salen del portafolio: su cuota anual, PAGO(tasa; plazo; −monto de la meta en su año), es un gasto ordinario desde el año de la meta y durante el plazo.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adicionales del portafolio, distintos de las metas de la pregunta 18: motivo, año y monto de cada uno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entra al flujo: el dinero que sale del portafolio ya está en los gastos y las metas.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¿Posee estructuras jurídicas? Si responde sí, cuáles y si su portafolio está dentro de alguna de ellas (y en cuáles)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 identifica dónde se encuentra el portafolio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 Las metas financiadas con crédito (pregunta 18) no salen del portafolio: su cuota anual, con la tasa y el plazo que indicó el cliente sobre el monto de la meta en su año, se suma a las cuotas (U) desde el año de la meta y durante el plazo.</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 xml:space="preserve">Los retiros adicionales del portafolio (pregunta 19) salen del portafolio en su año, con la inflación de su moneda, en la columna de gastos extraordinarios (hoja «Retiros del portafolio»). El cliente los declara aparte de sus metas para no contarlos dos veces. Por la misma razón, si el cliente indica que las cuotas de sus deudas ya están en el gasto familiar, no se suman de nuevo.</w:t>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spacing w:after="120" w:line="300"/>
      </w:pPr>
      <w:r>
        <w:t>Primer año de la proyección. La proyección parte de la fecha en que el cliente llenó el cuestionario, con el capital que declaró ese día. Si lo llenó en el año de inicio, el primer año cuenta solo los meses que faltan, incluido el mes en curso: meses = 13 − mes del cuestionario (un cuestionario de octubre cuenta octubre, noviembre y diciembre: 3 meses). En ese año, los montos recurrentes se multiplican por meses / 12: los ingresos (actividad, pareja, otros ingresos, alquileres y pensiones), el gasto familiar, los gastos de dependientes, las donaciones, las cuotas, los gastos extraordinarios de cada año y el rendimiento del portafolio y de los fondos de pensión. Por ejemplo, un gasto de dependientes de US$120 000 al año que empieza en 2026, con un cuestionario de octubre de 2026, suma US$30 000 ese año (120 000 / 12 × 3) y el monto completo desde 2027. Los montos puntuales (ingresos extraordinarios, ventas de activos, gastos de una vez y metas) van completos en su año. Si la pensión empieza ese mismo año, se toma el menor entre los meses después del cumpleaños y los meses que faltan. Los términos reales descuentan la inflación del tiempo transcurrido desde hoy: (1 + inflación)^(período − 1 + meses / 12). Si el cuestionario es de un año anterior al de inicio de la proyección, el primer año está completo. El Excel lleva los meses en la celda F24, editable.</w:t>
      </w:r>
    </w:p>
    <w:p>
      <w:pPr>
        <w:pStyle w:val="Heading2"/>
      </w:pPr>
      <w:r>
        <w:t>2.2 Estructura del Excel</w:t>
      </w:r>
    </w:p>
    <w:p>
      <w:pPr>
        <w:pStyle w:val="ListParagraph"/>
        <w:numPr>
          <w:ilvl w:val="0"/>
          <w:numId w:val="2"/>
        </w:numPr>
        <w:spacing w:after="60" w:line="290"/>
      </w:pPr>
      <w:r>
        <w:rPr>
          <w:b/>
          <w:bCs/>
        </w:rPr>
        <w:t xml:space="preserve">Cliente: en las columnas B a E, el perfil de riesgo, los activos y pasivos, los rendimientos mínimos esperado y necesario, las carteras sugerida y de equilibrio y los resultados de la proyección, seguidos de los datos declarados, el patrimonio total y los supuestos; desde la columna G, los gráficos, separados de los datos.</w:t>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27, la proyección anual: banda, bloques y encabezados, y una fila por año desde la 30.</w:t>
      </w:r>
      <w:r/>
    </w:p>
    <w:p>
      <w:pPr>
        <w:pStyle w:val="ListParagraph"/>
        <w:numPr>
          <w:ilvl w:val="0"/>
          <w:numId w:val="2"/>
        </w:numPr>
        <w:spacing w:after="60" w:line="290"/>
      </w:pPr>
      <w:r>
        <w:rPr>
          <w:b/>
          <w:bCs/>
        </w:rPr>
        <w:t xml:space="preserve">Ingresos, Gastos, Inversiones, Desinversiones y Retiros del portafolio (metas pagadas con el portafolio y retiros adicionales):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p>
    <w:p>
      <w:pPr>
        <w:pStyle w:val="ListParagraph"/>
        <w:numPr>
          <w:ilvl w:val="0"/>
          <w:numId w:val="2"/>
        </w:numPr>
        <w:spacing w:after="60" w:line="290"/>
      </w:pPr>
      <w:r>
        <w:rPr>
          <w:b/>
          <w:bCs/>
        </w:rPr>
        <w:t xml:space="preserve">Pensiones (antes «Fondos de pensión»): reúne todas las pensiones del cliente, separadas de los ingresos y gastos. Arriba a la derecha (G4:M7), la pensión del régimen básico (IVM, Magisterio u otro): monto mensual declarado, moneda, tipo de cambio, monto en dólares y período de inicio. Abajo, el ROP, el FCL y la pensión voluntaria, con su evolución anual. En la proyección siguen siendo ingresos ordinarios, cada una en su columna.</w:t>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la parte del gasto familiar pagada en dólares (F22) y en colones (F23 = 100% − F22) y los meses de la proyección en el primer año (F24).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insumos de los gráficos (perfil de riesgo,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«Pensiones»,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 · hoja «Pensiones»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 rendimiento de la cartera del perfil de riesgo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el menor rendimiento anual con el que el plan alcanza. Es el rendimiento mínimo necesario. Se compara con el rendimiento esperado (el de la cartera del perfil de riesgo) y se ubica en la frontera de las cinco carteras para indicar qué perfil sería necesario.</w:t>
      </w:r>
    </w:p>
    <w:p>
      <w:pPr>
        <w:spacing w:after="120" w:line="300"/>
      </w:pPr>
      <w:r>
        <w:rPr>
          <w:b/>
          <w:bCs/>
        </w:rPr>
        <w:t xml:space="preserve">Edad a la que se agota: primera edad con gasto no cubierto. Portafolio mínimo requerido: el menor capital inicial con el que, al rendimiento de la cartera del perfil de riesgo,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p>
    <w:p>
      <w:pPr>
        <w:spacing w:after="120" w:line="300"/>
      </w:pPr>
      <w:r>
        <w:rPr>
          <w:b/>
          <w:bCs/>
        </w:rPr>
        <w:t xml:space="preserve">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de riesgo),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 xml:space="preserve">Escenarios: se retiraron del dashboard, la ficha, la presentación y el Excel en la versión 5.24; se incluirán más adelante. En su lugar está la estrategia de flujo de caja por moneda.</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2026-10-29T20:00:00Z</dcterms:modified>
</cp:coreProperties>
</file>

<file path=docProps/custom.xml><?xml version="1.0" encoding="utf-8"?>
<Properties xmlns="http://schemas.openxmlformats.org/officeDocument/2006/custom-properties" xmlns:vt="http://schemas.openxmlformats.org/officeDocument/2006/docPropsVTypes"/>
</file>