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5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5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5"/>
        <w:ind w:left="720" w:leftChars="343" w:firstLine="0" w:firstLineChars="0"/>
      </w:pPr>
      <w:r>
        <w:t>mysql-apt-config_0.8.15-1_all.deb （mysql配置文件）</w:t>
      </w:r>
    </w:p>
    <w:p>
      <w:pPr>
        <w:pStyle w:val="5"/>
        <w:ind w:left="720" w:leftChars="343" w:firstLine="0" w:firstLineChars="0"/>
      </w:pPr>
      <w:r>
        <w:t>复制到我们的工程目录，比如weitter主目录下面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5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5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5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5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5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5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5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5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5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5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5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5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5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5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5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5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5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5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5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5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5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5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5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5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r>
        <w:t>Git：</w:t>
      </w:r>
    </w:p>
    <w:p>
      <w:pPr>
        <w:pStyle w:val="5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5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5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5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5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5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5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5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5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5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5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5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5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5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5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5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5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5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5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5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5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5"/>
        <w:ind w:left="360" w:firstLine="0" w:firstLineChars="0"/>
      </w:pPr>
      <w:r>
        <w:t>则再多包一层用来传参数</w:t>
      </w:r>
    </w:p>
    <w:p>
      <w:pPr>
        <w:pStyle w:val="5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5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5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5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5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5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hmset user1 username “testuser1” nickname “testnickname1”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zrangebyscore users 0 -1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存入redis要对orm的objects/queryset进行serialize，从redis取出后进行deserialize。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若对于cache的数据进行update，目前不支持，但是若进行此种修改的话，因为数据存在了redis的list中，难以查找到该数据的所有cache，可以1.直接从redis删除掉update的相关list，重新从数据库读取2. redis的list只存id，每个数据（tweet）存到memcached的缓存里面，取数据时进行2次查找，先从redis拿id再去memcache中取具体数据。这种二级缓存更加复杂一些。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缓存也要设置大小，我们不能无限制的缓存数据到redis中，通常我们缓存最新的前几百个比如200个到redis中，若用户访问到更旧的数据，则直接从数据库读取，此时的流量就少了很多了。所以我们在list这个方法中要对分页数据进行判断，先去cache取，redis中的都取完了再去数据库中取。</w:t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每1000次请求，进行一次select count(*)的操作进行校正，更新到count字段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每隔一段时间，运行异步任务进行select count（*）的操作refill，更新到count字段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queue分布式任务队列，负责把任务（task，一般是一些任务的要执行的代码标识）放入broker（消息队列，RabbiitMQ， Redis），worker作为任务执行单元去broker取任务来执行，任务执行结果放入backend中。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把一个任务拆成几个来做，比如每个任务处理1000个followers，一共拆出1000个子任务，这样每个子任务失败代价更小，即使重试也更简单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方法一：把key和对应的次数记录到cache中，key一般是对应的</w:t>
      </w:r>
      <w:r>
        <w:rPr>
          <w:rFonts w:hint="default"/>
          <w:lang w:eastAsia="zh-CN"/>
        </w:rPr>
        <w:t>限流的具体api</w:t>
      </w:r>
      <w:r>
        <w:rPr>
          <w:rFonts w:hint="default"/>
          <w:lang w:eastAsia="zh-CN"/>
        </w:rPr>
        <w:t xml:space="preserve">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  <w:bookmarkStart w:id="0" w:name="_GoBack"/>
      <w:bookmarkEnd w:id="0"/>
    </w:p>
    <w:p>
      <w:r>
        <w:rPr>
          <w:rFonts w:hint="eastAsia"/>
        </w:rPr>
        <w:t>TODO/</w:t>
      </w:r>
      <w:r>
        <w:t>问题：</w:t>
      </w:r>
    </w:p>
    <w:p>
      <w:pPr>
        <w:pStyle w:val="5"/>
        <w:numPr>
          <w:ilvl w:val="0"/>
          <w:numId w:val="18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5"/>
        <w:numPr>
          <w:ilvl w:val="1"/>
          <w:numId w:val="18"/>
        </w:numPr>
        <w:ind w:firstLineChars="0"/>
      </w:pPr>
      <w:r>
        <w:t>Likes的content_type实现时关注下mysql中django_content_type表里的内容是否有增加。</w:t>
      </w:r>
    </w:p>
    <w:p>
      <w:pPr>
        <w:pStyle w:val="5"/>
        <w:numPr>
          <w:ilvl w:val="0"/>
          <w:numId w:val="18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1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3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12"/>
  </w:num>
  <w:num w:numId="12">
    <w:abstractNumId w:val="14"/>
  </w:num>
  <w:num w:numId="13">
    <w:abstractNumId w:val="0"/>
  </w:num>
  <w:num w:numId="14">
    <w:abstractNumId w:val="1"/>
  </w:num>
  <w:num w:numId="15">
    <w:abstractNumId w:val="17"/>
  </w:num>
  <w:num w:numId="16">
    <w:abstractNumId w:val="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5FFFBE99"/>
    <w:rsid w:val="6EDFE998"/>
    <w:rsid w:val="6EEFC411"/>
    <w:rsid w:val="74E46D1E"/>
    <w:rsid w:val="75DF4609"/>
    <w:rsid w:val="76DD2C8E"/>
    <w:rsid w:val="AB4F902D"/>
    <w:rsid w:val="BFF729FD"/>
    <w:rsid w:val="F7A7B3E1"/>
    <w:rsid w:val="F7AFDBB3"/>
    <w:rsid w:val="F97A2B3A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1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2022-09-15T21:29:00Z</dcterms:created>
  <dc:creator>Microsoft 帐户</dc:creator>
  <cp:lastModifiedBy>zjiang</cp:lastModifiedBy>
  <dcterms:modified xsi:type="dcterms:W3CDTF">2022-11-06T21:30:03Z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