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1DCA"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【書類名】明細書</w:t>
      </w:r>
    </w:p>
    <w:p w14:paraId="1DCE8F20"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【発明の名称】物質エネルギ変換装置</w:t>
      </w:r>
    </w:p>
    <w:p w14:paraId="2D4797F7" w14:textId="77777777" w:rsidR="00AB5976" w:rsidRDefault="00AB5976" w:rsidP="00EC6407">
      <w:pPr>
        <w:kinsoku w:val="0"/>
        <w:wordWrap w:val="0"/>
        <w:overflowPunct w:val="0"/>
        <w:adjustRightInd w:val="0"/>
        <w:spacing w:line="296" w:lineRule="exact"/>
        <w:textAlignment w:val="baseline"/>
      </w:pPr>
      <w:r>
        <w:rPr>
          <w:rFonts w:hint="eastAsia"/>
        </w:rPr>
        <w:t>【技術分野】</w:t>
      </w:r>
    </w:p>
    <w:p w14:paraId="703998D3" w14:textId="77777777" w:rsidR="00AB5976" w:rsidRDefault="00AB5976" w:rsidP="00EC6407">
      <w:pPr>
        <w:kinsoku w:val="0"/>
        <w:wordWrap w:val="0"/>
        <w:overflowPunct w:val="0"/>
        <w:adjustRightInd w:val="0"/>
        <w:spacing w:line="296" w:lineRule="exact"/>
        <w:textAlignment w:val="baseline"/>
      </w:pPr>
      <w:r>
        <w:rPr>
          <w:rFonts w:hint="eastAsia"/>
        </w:rPr>
        <w:t xml:space="preserve">　【０００１】</w:t>
      </w:r>
    </w:p>
    <w:p w14:paraId="60C118C9"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本発明は、物質をエネルギに変換する物質エネルギ変換装置である。</w:t>
      </w:r>
    </w:p>
    <w:p w14:paraId="14D1C925" w14:textId="77777777" w:rsidR="00AB5976" w:rsidRDefault="00AB5976" w:rsidP="00EC6407">
      <w:pPr>
        <w:kinsoku w:val="0"/>
        <w:wordWrap w:val="0"/>
        <w:overflowPunct w:val="0"/>
        <w:adjustRightInd w:val="0"/>
        <w:spacing w:line="296" w:lineRule="exact"/>
        <w:textAlignment w:val="baseline"/>
      </w:pPr>
      <w:r>
        <w:rPr>
          <w:rFonts w:hint="eastAsia"/>
        </w:rPr>
        <w:t>【背景技術】</w:t>
      </w:r>
    </w:p>
    <w:p w14:paraId="37AFAB0E" w14:textId="77777777" w:rsidR="00AB5976" w:rsidRDefault="00AB5976" w:rsidP="00EC6407">
      <w:pPr>
        <w:kinsoku w:val="0"/>
        <w:wordWrap w:val="0"/>
        <w:overflowPunct w:val="0"/>
        <w:adjustRightInd w:val="0"/>
        <w:spacing w:line="296" w:lineRule="exact"/>
        <w:textAlignment w:val="baseline"/>
      </w:pPr>
      <w:r>
        <w:rPr>
          <w:rFonts w:hint="eastAsia"/>
        </w:rPr>
        <w:t xml:space="preserve">　【０００２】</w:t>
      </w:r>
    </w:p>
    <w:p w14:paraId="693DC7EF" w14:textId="3346862F" w:rsidR="00EC6407" w:rsidRDefault="00EC6407" w:rsidP="00EC6407">
      <w:pPr>
        <w:kinsoku w:val="0"/>
        <w:wordWrap w:val="0"/>
        <w:overflowPunct w:val="0"/>
        <w:adjustRightInd w:val="0"/>
        <w:spacing w:line="296" w:lineRule="exact"/>
        <w:textAlignment w:val="baseline"/>
      </w:pPr>
      <w:r>
        <w:rPr>
          <w:rFonts w:hint="eastAsia"/>
        </w:rPr>
        <w:t>０１２３４５６７８９０１２３４５６７８９０１２３４５６７８９０１２３４５６７８９</w:t>
      </w:r>
    </w:p>
    <w:p w14:paraId="3F255225"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従来、エネルギーを得るには、化学反応または核反応を用いる必要があり、効率が悪かった。</w:t>
      </w:r>
    </w:p>
    <w:p w14:paraId="7A795BE3"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非特許文献１には、反物質が物質と合わさって厖大なエネルギを発することが記載されている。</w:t>
      </w:r>
    </w:p>
    <w:p w14:paraId="1CC70D73"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【先行技術文献】</w:t>
      </w:r>
    </w:p>
    <w:p w14:paraId="510CBE42" w14:textId="77777777" w:rsidR="00AB5976" w:rsidRDefault="00AB5976" w:rsidP="00EC6407">
      <w:pPr>
        <w:kinsoku w:val="0"/>
        <w:wordWrap w:val="0"/>
        <w:overflowPunct w:val="0"/>
        <w:adjustRightInd w:val="0"/>
        <w:spacing w:line="296" w:lineRule="exact"/>
        <w:textAlignment w:val="baseline"/>
      </w:pPr>
      <w:r>
        <w:rPr>
          <w:rFonts w:hint="eastAsia"/>
        </w:rPr>
        <w:t xml:space="preserve">　【非特許文献】</w:t>
      </w:r>
    </w:p>
    <w:p w14:paraId="65B88E90" w14:textId="77777777" w:rsidR="00AB5976" w:rsidRDefault="00AB5976" w:rsidP="00EC6407">
      <w:pPr>
        <w:kinsoku w:val="0"/>
        <w:wordWrap w:val="0"/>
        <w:overflowPunct w:val="0"/>
        <w:adjustRightInd w:val="0"/>
        <w:spacing w:line="296" w:lineRule="exact"/>
        <w:textAlignment w:val="baseline"/>
      </w:pPr>
      <w:r>
        <w:rPr>
          <w:rFonts w:hint="eastAsia"/>
        </w:rPr>
        <w:t xml:space="preserve">　【０００３】</w:t>
      </w:r>
    </w:p>
    <w:p w14:paraId="647F56AD"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【非特許文献１】ダン・ブラウン、</w:t>
      </w:r>
      <w:r w:rsidRPr="00EC6407">
        <w:t>"天使と悪魔”、２０００年初版</w:t>
      </w:r>
    </w:p>
    <w:p w14:paraId="042D0D15"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【発明の概要】</w:t>
      </w:r>
    </w:p>
    <w:p w14:paraId="5028C0EF" w14:textId="77777777" w:rsidR="00AB5976" w:rsidRDefault="00AB5976" w:rsidP="00EC6407">
      <w:pPr>
        <w:kinsoku w:val="0"/>
        <w:wordWrap w:val="0"/>
        <w:overflowPunct w:val="0"/>
        <w:adjustRightInd w:val="0"/>
        <w:spacing w:line="296" w:lineRule="exact"/>
        <w:textAlignment w:val="baseline"/>
      </w:pPr>
      <w:r>
        <w:rPr>
          <w:rFonts w:hint="eastAsia"/>
        </w:rPr>
        <w:t>【発明が解決しようとする課題】</w:t>
      </w:r>
    </w:p>
    <w:p w14:paraId="277420F0" w14:textId="77777777" w:rsidR="00AB5976" w:rsidRDefault="00AB5976" w:rsidP="00EC6407">
      <w:pPr>
        <w:kinsoku w:val="0"/>
        <w:wordWrap w:val="0"/>
        <w:overflowPunct w:val="0"/>
        <w:adjustRightInd w:val="0"/>
        <w:spacing w:line="296" w:lineRule="exact"/>
        <w:textAlignment w:val="baseline"/>
      </w:pPr>
      <w:r>
        <w:rPr>
          <w:rFonts w:hint="eastAsia"/>
        </w:rPr>
        <w:t xml:space="preserve">　【０００４】</w:t>
      </w:r>
    </w:p>
    <w:p w14:paraId="7A562BB6" w14:textId="54658ADA"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非特許文献１では、反物質を生成する必要があった。反物質の生成には、この反物質が物質と合わさってエネルギを生成する以上のエネルギが必要であった。</w:t>
      </w:r>
    </w:p>
    <w:p w14:paraId="308B8EE2"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そこで、本発明は、物質をそのままエネルギに変換することを課題とする。</w:t>
      </w:r>
    </w:p>
    <w:p w14:paraId="5D2539FA" w14:textId="77777777" w:rsidR="00AB5976" w:rsidRDefault="00AB5976" w:rsidP="00EC6407">
      <w:pPr>
        <w:kinsoku w:val="0"/>
        <w:wordWrap w:val="0"/>
        <w:overflowPunct w:val="0"/>
        <w:adjustRightInd w:val="0"/>
        <w:spacing w:line="296" w:lineRule="exact"/>
        <w:textAlignment w:val="baseline"/>
      </w:pPr>
      <w:r>
        <w:rPr>
          <w:rFonts w:hint="eastAsia"/>
        </w:rPr>
        <w:t>【課題を解決するための手段】</w:t>
      </w:r>
    </w:p>
    <w:p w14:paraId="149C60B9" w14:textId="77777777" w:rsidR="00AB5976" w:rsidRDefault="00AB5976" w:rsidP="00EC6407">
      <w:pPr>
        <w:kinsoku w:val="0"/>
        <w:wordWrap w:val="0"/>
        <w:overflowPunct w:val="0"/>
        <w:adjustRightInd w:val="0"/>
        <w:spacing w:line="296" w:lineRule="exact"/>
        <w:textAlignment w:val="baseline"/>
      </w:pPr>
      <w:r>
        <w:rPr>
          <w:rFonts w:hint="eastAsia"/>
        </w:rPr>
        <w:t xml:space="preserve">　【０００５】</w:t>
      </w:r>
    </w:p>
    <w:p w14:paraId="1AC8C653" w14:textId="31CB757A"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本発明の物質エネルギ変換装置は、水素を入力する水素入力手段と、当該水素を吸収する希土類金属結晶部と、当該希土類金属結晶部の所定の結晶方向に磁場を与える磁場形成部とを有する。</w:t>
      </w:r>
    </w:p>
    <w:p w14:paraId="6B436174" w14:textId="77777777" w:rsidR="00AB5976" w:rsidRDefault="00AB5976" w:rsidP="00EC6407">
      <w:pPr>
        <w:kinsoku w:val="0"/>
        <w:wordWrap w:val="0"/>
        <w:overflowPunct w:val="0"/>
        <w:adjustRightInd w:val="0"/>
        <w:spacing w:line="296" w:lineRule="exact"/>
        <w:textAlignment w:val="baseline"/>
      </w:pPr>
      <w:r>
        <w:rPr>
          <w:rFonts w:hint="eastAsia"/>
        </w:rPr>
        <w:t>【発明の効果】</w:t>
      </w:r>
    </w:p>
    <w:p w14:paraId="09EFF0A4" w14:textId="77777777" w:rsidR="00AB5976" w:rsidRDefault="00AB5976" w:rsidP="00EC6407">
      <w:pPr>
        <w:kinsoku w:val="0"/>
        <w:wordWrap w:val="0"/>
        <w:overflowPunct w:val="0"/>
        <w:adjustRightInd w:val="0"/>
        <w:spacing w:line="296" w:lineRule="exact"/>
        <w:textAlignment w:val="baseline"/>
      </w:pPr>
      <w:r>
        <w:rPr>
          <w:rFonts w:hint="eastAsia"/>
        </w:rPr>
        <w:t xml:space="preserve">　【０００６】</w:t>
      </w:r>
    </w:p>
    <w:p w14:paraId="609FFC00"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本発明によれば、高い効率で物質をエネルギーに変換することができる。</w:t>
      </w:r>
    </w:p>
    <w:p w14:paraId="2B23CEE6" w14:textId="77777777" w:rsidR="00AB5976" w:rsidRDefault="00AB5976" w:rsidP="00EC6407">
      <w:pPr>
        <w:kinsoku w:val="0"/>
        <w:wordWrap w:val="0"/>
        <w:overflowPunct w:val="0"/>
        <w:adjustRightInd w:val="0"/>
        <w:spacing w:line="296" w:lineRule="exact"/>
        <w:textAlignment w:val="baseline"/>
      </w:pPr>
      <w:r>
        <w:rPr>
          <w:rFonts w:hint="eastAsia"/>
        </w:rPr>
        <w:t>【図面の簡単な説明】</w:t>
      </w:r>
    </w:p>
    <w:p w14:paraId="6EA2A193" w14:textId="77777777" w:rsidR="00AB5976" w:rsidRDefault="00AB5976" w:rsidP="00EC6407">
      <w:pPr>
        <w:kinsoku w:val="0"/>
        <w:wordWrap w:val="0"/>
        <w:overflowPunct w:val="0"/>
        <w:adjustRightInd w:val="0"/>
        <w:spacing w:line="296" w:lineRule="exact"/>
        <w:textAlignment w:val="baseline"/>
      </w:pPr>
      <w:r>
        <w:rPr>
          <w:rFonts w:hint="eastAsia"/>
        </w:rPr>
        <w:t xml:space="preserve">　【０００７】</w:t>
      </w:r>
    </w:p>
    <w:p w14:paraId="14CD8E45"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【図１】本実施形態の物質エネルギ変換装置の構成図である。</w:t>
      </w:r>
    </w:p>
    <w:p w14:paraId="2CD798AD"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【図２】物質エネルギ変換装置の動作を説明する図である。</w:t>
      </w:r>
    </w:p>
    <w:p w14:paraId="261B8F08" w14:textId="77777777" w:rsidR="00AB5976" w:rsidRDefault="00AB5976" w:rsidP="00EC6407">
      <w:pPr>
        <w:kinsoku w:val="0"/>
        <w:wordWrap w:val="0"/>
        <w:overflowPunct w:val="0"/>
        <w:adjustRightInd w:val="0"/>
        <w:spacing w:line="296" w:lineRule="exact"/>
        <w:textAlignment w:val="baseline"/>
      </w:pPr>
      <w:r>
        <w:rPr>
          <w:rFonts w:hint="eastAsia"/>
        </w:rPr>
        <w:t>【発明を実施するための形態】</w:t>
      </w:r>
    </w:p>
    <w:p w14:paraId="7BA6A881" w14:textId="77777777" w:rsidR="00AB5976" w:rsidRDefault="00AB5976" w:rsidP="00EC6407">
      <w:pPr>
        <w:kinsoku w:val="0"/>
        <w:wordWrap w:val="0"/>
        <w:overflowPunct w:val="0"/>
        <w:adjustRightInd w:val="0"/>
        <w:spacing w:line="296" w:lineRule="exact"/>
        <w:textAlignment w:val="baseline"/>
      </w:pPr>
      <w:r>
        <w:rPr>
          <w:rFonts w:hint="eastAsia"/>
        </w:rPr>
        <w:t xml:space="preserve">　【０００８】</w:t>
      </w:r>
    </w:p>
    <w:p w14:paraId="28141107"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図１は、本実施形態の物質エネルギ変換装置１の構成図である。</w:t>
      </w:r>
    </w:p>
    <w:p w14:paraId="71C011BF" w14:textId="65668809"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物質エネルギ変換装置１は、水素入力部１１と、希土類金属結晶１２と、磁場形成部１３と、これらを包み込む中性子遮蔽部１４とを備える。この物質エネルギ変換装置１は、水素原子を直接にエネルギに変換するものである。</w:t>
      </w:r>
    </w:p>
    <w:p w14:paraId="71813164" w14:textId="77777777" w:rsidR="00AB5976" w:rsidRDefault="00AB5976" w:rsidP="00EC6407">
      <w:pPr>
        <w:kinsoku w:val="0"/>
        <w:wordWrap w:val="0"/>
        <w:overflowPunct w:val="0"/>
        <w:adjustRightInd w:val="0"/>
        <w:spacing w:line="296" w:lineRule="exact"/>
        <w:textAlignment w:val="baseline"/>
      </w:pPr>
      <w:r>
        <w:rPr>
          <w:rFonts w:hint="eastAsia"/>
        </w:rPr>
        <w:t xml:space="preserve">　【０００９】</w:t>
      </w:r>
    </w:p>
    <w:p w14:paraId="72984A34" w14:textId="374BC995"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水素入力部１１は、・・・・・・・・・・・・・・・・・・・・・・・・である。</w:t>
      </w:r>
    </w:p>
    <w:p w14:paraId="7813B513" w14:textId="52E530A5"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希土類金属結晶１２は、・・・・・・・・・・・・・・・・・・・・・・・・であり、水素入力部１１から入力された水素を吸収して・・・・・・・・・・・・・・・・・・・・・・・・する。この希土類金属結晶１２は、・・・・・・・・・・・・・・・・・・・・・・・することにより、・・・・・・・・・する。</w:t>
      </w:r>
    </w:p>
    <w:p w14:paraId="5AAD460E" w14:textId="77777777" w:rsidR="00AB5976" w:rsidRDefault="00AB5976" w:rsidP="00EC6407">
      <w:pPr>
        <w:kinsoku w:val="0"/>
        <w:wordWrap w:val="0"/>
        <w:overflowPunct w:val="0"/>
        <w:adjustRightInd w:val="0"/>
        <w:spacing w:line="296" w:lineRule="exact"/>
        <w:textAlignment w:val="baseline"/>
      </w:pPr>
      <w:r>
        <w:rPr>
          <w:rFonts w:hint="eastAsia"/>
        </w:rPr>
        <w:t xml:space="preserve">　【００１０】</w:t>
      </w:r>
    </w:p>
    <w:p w14:paraId="6219313A" w14:textId="2A27F9F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磁場形成部１３は、・・・・・・・・・・・・・・・・・であり、希土類金属結晶の１１１方向の磁場を形成して、・・・・・・・・・、・・・・・・・・・・・・・・・・・・・する。これにより、希土類金属結晶１２に吸収されている水素原子は、・・・・・・・・・</w:t>
      </w:r>
      <w:r w:rsidRPr="00EC6407">
        <w:rPr>
          <w:rFonts w:hint="eastAsia"/>
        </w:rPr>
        <w:lastRenderedPageBreak/>
        <w:t>・・・・・・・・・・・・・・・・・・・・・・・・・・・・・・・・・する。</w:t>
      </w:r>
    </w:p>
    <w:p w14:paraId="439F9697" w14:textId="77777777" w:rsidR="00AB5976" w:rsidRDefault="00AB5976" w:rsidP="00EC6407">
      <w:pPr>
        <w:kinsoku w:val="0"/>
        <w:wordWrap w:val="0"/>
        <w:overflowPunct w:val="0"/>
        <w:adjustRightInd w:val="0"/>
        <w:spacing w:line="296" w:lineRule="exact"/>
        <w:textAlignment w:val="baseline"/>
      </w:pPr>
      <w:r>
        <w:rPr>
          <w:rFonts w:hint="eastAsia"/>
        </w:rPr>
        <w:t xml:space="preserve">　【００１１】</w:t>
      </w:r>
    </w:p>
    <w:p w14:paraId="171034F6" w14:textId="02DF17C5"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中性子遮蔽部１４は、水素原子のエネルギ化に伴い、希土類金属結晶１２から出射される中性子線を遮蔽する。この中性子遮蔽部１４は、例えば・・・・・・・・・・・・・・・・・・・・・・・・・・・・・・・・・・・・・・・・・・・・・・・・・・・・・・・・・・・・であり、・・・・・・・・・する。</w:t>
      </w:r>
    </w:p>
    <w:p w14:paraId="5099D701" w14:textId="77777777" w:rsidR="00AB5976" w:rsidRDefault="00AB5976" w:rsidP="00EC6407">
      <w:pPr>
        <w:kinsoku w:val="0"/>
        <w:wordWrap w:val="0"/>
        <w:overflowPunct w:val="0"/>
        <w:adjustRightInd w:val="0"/>
        <w:spacing w:line="296" w:lineRule="exact"/>
        <w:textAlignment w:val="baseline"/>
      </w:pPr>
      <w:r>
        <w:rPr>
          <w:rFonts w:hint="eastAsia"/>
        </w:rPr>
        <w:t xml:space="preserve">　【００１２】</w:t>
      </w:r>
    </w:p>
    <w:p w14:paraId="63CC75E4" w14:textId="0EFB0FCD"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図２は、物質エネルギ変換装置の動作を説明する図である。</w:t>
      </w:r>
    </w:p>
    <w:p w14:paraId="1FDA69AA" w14:textId="6FD03398"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水素は、水素入力部１１によって高圧（例えば、１０万メガパスカル）に圧縮されて、希土類金属結晶１２が位置する炉内に導かれる。希土類金属結晶１２の水素吸収能力により、水素は、希土類金属結晶１２に吸収される。そして、磁場形成部１３は、・・・・・・・・・・・・・・・・・・・・・。これにより、希土類金属結晶１２からエネルギが放出され、中性子線とが出射される。</w:t>
      </w:r>
    </w:p>
    <w:p w14:paraId="680C38DA" w14:textId="77777777" w:rsidR="00AB5976" w:rsidRDefault="00AB5976" w:rsidP="00EC6407">
      <w:pPr>
        <w:kinsoku w:val="0"/>
        <w:wordWrap w:val="0"/>
        <w:overflowPunct w:val="0"/>
        <w:adjustRightInd w:val="0"/>
        <w:spacing w:line="296" w:lineRule="exact"/>
        <w:textAlignment w:val="baseline"/>
      </w:pPr>
      <w:r>
        <w:rPr>
          <w:rFonts w:hint="eastAsia"/>
        </w:rPr>
        <w:t xml:space="preserve">　【００１３】</w:t>
      </w:r>
    </w:p>
    <w:p w14:paraId="521C4D96" w14:textId="25632842"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物質エネルギ変換装置１が変換するエネルギ</w:t>
      </w:r>
      <w:r w:rsidRPr="00EC6407">
        <w:t>Eは、以下の式（１）によって示される。但し、Mは水素の質量である。Cは光速である。</w:t>
      </w:r>
    </w:p>
    <w:p w14:paraId="22D94F0F"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【数１】</w:t>
      </w:r>
    </w:p>
    <w:p w14:paraId="05BAA495" w14:textId="77777777" w:rsidR="00EC6407" w:rsidRPr="00EC6407" w:rsidRDefault="00EC6407" w:rsidP="00EC6407">
      <w:pPr>
        <w:kinsoku w:val="0"/>
        <w:wordWrap w:val="0"/>
        <w:overflowPunct w:val="0"/>
        <w:adjustRightInd w:val="0"/>
        <w:spacing w:line="296" w:lineRule="exact"/>
        <w:textAlignment w:val="baseline"/>
      </w:pPr>
      <w:r w:rsidRPr="00EC6407">
        <w:t xml:space="preserve">    E=MC^2・・・（１）</w:t>
      </w:r>
    </w:p>
    <w:p w14:paraId="4DC05AEC" w14:textId="526C6680" w:rsidR="00EC6407" w:rsidRPr="00EC6407" w:rsidRDefault="00EC6407" w:rsidP="00EC6407">
      <w:pPr>
        <w:kinsoku w:val="0"/>
        <w:wordWrap w:val="0"/>
        <w:overflowPunct w:val="0"/>
        <w:adjustRightInd w:val="0"/>
        <w:spacing w:line="296" w:lineRule="exact"/>
        <w:textAlignment w:val="baseline"/>
      </w:pPr>
      <w:r w:rsidRPr="00EC6407">
        <w:rPr>
          <w:rFonts w:hint="eastAsia"/>
        </w:rPr>
        <w:t xml:space="preserve">　よって、本実施形態の物質エネルギ変換装置１によれば、反物質を生成することなく、物質を直接的にエネルギに変換することができる。</w:t>
      </w:r>
    </w:p>
    <w:p w14:paraId="11A6AD9B" w14:textId="77777777" w:rsidR="00AB5976" w:rsidRDefault="00AB5976" w:rsidP="00EC6407">
      <w:pPr>
        <w:kinsoku w:val="0"/>
        <w:wordWrap w:val="0"/>
        <w:overflowPunct w:val="0"/>
        <w:adjustRightInd w:val="0"/>
        <w:spacing w:line="296" w:lineRule="exact"/>
        <w:textAlignment w:val="baseline"/>
      </w:pPr>
      <w:r>
        <w:rPr>
          <w:rFonts w:hint="eastAsia"/>
        </w:rPr>
        <w:t>【符号の説明】</w:t>
      </w:r>
    </w:p>
    <w:p w14:paraId="724ECEEF" w14:textId="77777777" w:rsidR="00AB5976" w:rsidRDefault="00AB5976" w:rsidP="00EC6407">
      <w:pPr>
        <w:kinsoku w:val="0"/>
        <w:wordWrap w:val="0"/>
        <w:overflowPunct w:val="0"/>
        <w:adjustRightInd w:val="0"/>
        <w:spacing w:line="296" w:lineRule="exact"/>
        <w:textAlignment w:val="baseline"/>
      </w:pPr>
      <w:r>
        <w:rPr>
          <w:rFonts w:hint="eastAsia"/>
        </w:rPr>
        <w:t xml:space="preserve">　【００１４】</w:t>
      </w:r>
    </w:p>
    <w:p w14:paraId="19E6E91A"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１　物質エネルギ変換装置</w:t>
      </w:r>
    </w:p>
    <w:p w14:paraId="4A89499C"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１１　水素入力部</w:t>
      </w:r>
    </w:p>
    <w:p w14:paraId="0FD9C43C"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１２　希土類金属結晶</w:t>
      </w:r>
    </w:p>
    <w:p w14:paraId="3049EE1E" w14:textId="77777777" w:rsidR="00EC6407" w:rsidRPr="00EC6407" w:rsidRDefault="00EC6407" w:rsidP="00EC6407">
      <w:pPr>
        <w:kinsoku w:val="0"/>
        <w:wordWrap w:val="0"/>
        <w:overflowPunct w:val="0"/>
        <w:adjustRightInd w:val="0"/>
        <w:spacing w:line="296" w:lineRule="exact"/>
        <w:textAlignment w:val="baseline"/>
      </w:pPr>
      <w:r w:rsidRPr="00EC6407">
        <w:rPr>
          <w:rFonts w:hint="eastAsia"/>
        </w:rPr>
        <w:t>１３　磁場形成部</w:t>
      </w:r>
    </w:p>
    <w:p w14:paraId="3FDA7A99" w14:textId="23A518AA" w:rsidR="005238C0" w:rsidRDefault="00EC6407" w:rsidP="00EC6407">
      <w:pPr>
        <w:kinsoku w:val="0"/>
        <w:wordWrap w:val="0"/>
        <w:overflowPunct w:val="0"/>
        <w:adjustRightInd w:val="0"/>
        <w:spacing w:line="296" w:lineRule="exact"/>
        <w:textAlignment w:val="baseline"/>
      </w:pPr>
      <w:r w:rsidRPr="00EC6407">
        <w:rPr>
          <w:rFonts w:hint="eastAsia"/>
        </w:rPr>
        <w:t>１４　中性子遮蔽部</w:t>
      </w:r>
    </w:p>
    <w:p w14:paraId="0FAFF545" w14:textId="77777777" w:rsidR="00EC6407" w:rsidRPr="00EC6407" w:rsidRDefault="00EC6407" w:rsidP="00EC6407">
      <w:pPr>
        <w:kinsoku w:val="0"/>
        <w:wordWrap w:val="0"/>
        <w:overflowPunct w:val="0"/>
        <w:adjustRightInd w:val="0"/>
        <w:spacing w:line="296" w:lineRule="exact"/>
        <w:textAlignment w:val="baseline"/>
      </w:pPr>
    </w:p>
    <w:sectPr w:rsidR="00EC6407" w:rsidRPr="00EC6407" w:rsidSect="00EC6407">
      <w:type w:val="continuous"/>
      <w:pgSz w:w="11906" w:h="16838"/>
      <w:pgMar w:top="1134" w:right="1134" w:bottom="850" w:left="1134" w:header="567" w:footer="567" w:gutter="0"/>
      <w:cols w:space="720"/>
      <w:noEndnote/>
      <w:docGrid w:type="linesAndChars" w:linePitch="360" w:charSpace="1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24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F4"/>
    <w:rsid w:val="005238C0"/>
    <w:rsid w:val="009D38F4"/>
    <w:rsid w:val="00AB5976"/>
    <w:rsid w:val="00EC6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CD0DF0"/>
  <w15:chartTrackingRefBased/>
  <w15:docId w15:val="{C8F17791-8E52-44CB-90CD-EA31C2D0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hAnsi="ＭＳ 明朝"/>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3</cp:revision>
  <dcterms:created xsi:type="dcterms:W3CDTF">2020-07-04T04:53:00Z</dcterms:created>
  <dcterms:modified xsi:type="dcterms:W3CDTF">2022-05-01T03:13:00Z</dcterms:modified>
</cp:coreProperties>
</file>