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200"/>
        <w:jc w:val="center"/>
      </w:pPr>
      <w:r>
        <w:rPr>
          <w:rFonts w:ascii="Arial" w:cs="Arial" w:eastAsia="Arial" w:hAnsi="Arial"/>
          <w:b/>
          <w:bCs/>
          <w:color w:val="595959"/>
          <w:sz w:val="22"/>
          <w:szCs w:val="22"/>
        </w:rPr>
        <w:t xml:space="preserve">GRC PLATFORM</w:t>
      </w:r>
    </w:p>
    <w:p>
      <w:pPr>
        <w:spacing w:after="80" w:before="0"/>
        <w:jc w:val="center"/>
      </w:pPr>
      <w:r>
        <w:rPr>
          <w:rFonts w:ascii="Arial" w:cs="Arial" w:eastAsia="Arial" w:hAnsi="Arial"/>
          <w:b/>
          <w:bCs/>
          <w:color w:val="1F3864"/>
          <w:sz w:val="40"/>
          <w:szCs w:val="40"/>
        </w:rPr>
        <w:t xml:space="preserve">Reverse Traceability Reference Matrix</w:t>
      </w:r>
    </w:p>
    <w:p>
      <w:pPr>
        <w:pBdr>
          <w:bottom w:val="single" w:color="C55A11" w:sz="12"/>
        </w:pBdr>
        <w:spacing w:after="60" w:before="0"/>
        <w:jc w:val="center"/>
      </w:pPr>
      <w:r>
        <w:rPr>
          <w:rFonts w:ascii="Arial" w:cs="Arial" w:eastAsia="Arial" w:hAnsi="Arial"/>
          <w:color w:val="C55A11"/>
          <w:sz w:val="24"/>
          <w:szCs w:val="24"/>
        </w:rPr>
        <w:t xml:space="preserve">5-Layer Incident-to-Source Compliance Traceability Framework</w:t>
      </w:r>
    </w:p>
    <w:p>
      <w:pPr>
        <w:spacing w:after="40" w:before="80"/>
        <w:jc w:val="center"/>
      </w:pPr>
      <w:r>
        <w:rPr>
          <w:rFonts w:ascii="Arial" w:cs="Arial" w:eastAsia="Arial" w:hAnsi="Arial"/>
          <w:color w:val="595959"/>
          <w:sz w:val="18"/>
          <w:szCs w:val="18"/>
        </w:rPr>
        <w:t xml:space="preserve">Incident: INC-2024-FSC-0047  |  Date: 14 March 2024  |  Classification: HIGH</w:t>
      </w:r>
    </w:p>
    <w:p>
      <w:pPr>
        <w:spacing w:after="60" w:before="60"/>
      </w:pPr>
      <w:r>
        <w:t xml:space="preserve"/>
      </w:r>
    </w:p>
    <w:p>
      <w:pPr>
        <w:pBdr>
          <w:bottom w:val="single" w:color="1F3864" w:sz="8"/>
        </w:pBdr>
        <w:spacing w:after="100" w:before="280"/>
      </w:pPr>
      <w:r>
        <w:rPr>
          <w:rFonts w:ascii="Arial" w:cs="Arial" w:eastAsia="Arial" w:hAnsi="Arial"/>
          <w:b/>
          <w:bCs/>
          <w:color w:val="1F3864"/>
          <w:sz w:val="22"/>
          <w:szCs w:val="22"/>
        </w:rPr>
        <w:t xml:space="preserve">SECTION 1 – REVERSE TRACEABILITY FRAMEWORK: 5 LAYERS &amp; STAGES</w:t>
      </w:r>
    </w:p>
    <w:p>
      <w:pPr>
        <w:spacing w:after="60" w:before="60"/>
      </w:pPr>
      <w:r>
        <w:rPr>
          <w:rFonts w:ascii="Arial" w:cs="Arial" w:eastAsia="Arial" w:hAnsi="Arial"/>
          <w:sz w:val="20"/>
          <w:szCs w:val="20"/>
        </w:rPr>
        <w:t xml:space="preserve">The GRC Reverse Traceability Model enables any incident to be traced backward through five structured layers — from the incident itself up to the originating source documents. Each layer contains defined stages, and each mapping preserves obligation, applicability, control, schedule, and precise source references (page / section / clause).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00"/>
      </w:tblGrid>
      <w:tr>
        <w:trPr>
          <w:tblHeader/>
        </w:trPr>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 ID</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 Name</w:t>
            </w:r>
          </w:p>
        </w:tc>
        <w:tc>
          <w:tcPr>
            <w:tcW w:type="dxa" w:w="5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Stages within Layer</w:t>
            </w:r>
          </w:p>
        </w:tc>
      </w:tr>
      <w:tr>
        <w:tc>
          <w:tcPr>
            <w:tcW w:type="dxa" w:w="9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L1</w:t>
            </w:r>
          </w:p>
        </w:tc>
        <w:tc>
          <w:tcPr>
            <w:tcW w:type="dxa" w:w="24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INCIDENT LAYER</w:t>
            </w:r>
          </w:p>
        </w:tc>
        <w:tc>
          <w:tcPr>
            <w:tcW w:type="dxa" w:w="5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Detection → Notification → Classification → Initial Response</w:t>
            </w:r>
          </w:p>
        </w:tc>
      </w:tr>
      <w:tr>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C55A11"/>
                <w:sz w:val="18"/>
                <w:szCs w:val="18"/>
              </w:rPr>
              <w:t xml:space="preserve">L2</w:t>
            </w:r>
          </w:p>
        </w:tc>
        <w:tc>
          <w:tcPr>
            <w:tcW w:type="dxa" w:w="24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C55A11"/>
                <w:sz w:val="18"/>
                <w:szCs w:val="18"/>
              </w:rPr>
              <w:t xml:space="preserve">RISK &amp; HAZARD LAYER</w:t>
            </w:r>
          </w:p>
        </w:tc>
        <w:tc>
          <w:tcPr>
            <w:tcW w:type="dxa" w:w="5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Hazard Identification → Risk Assessment → Consequence Analysis → Residual Risk</w:t>
            </w:r>
          </w:p>
        </w:tc>
      </w:tr>
      <w:tr>
        <w:tc>
          <w:tcPr>
            <w:tcW w:type="dxa" w:w="900"/>
            <w:gridSpan w:val="1"/>
            <w:tcBorders>
              <w:top w:val="single" w:color="AAAAAA" w:sz="4"/>
              <w:left w:val="single" w:color="AAAAAA" w:sz="4"/>
              <w:bottom w:val="single" w:color="AAAAAA" w:sz="4"/>
              <w:right w:val="single" w:color="AAAAAA" w:sz="4"/>
            </w:tcBorders>
            <w:shd w:fill="D6EEF1" w:val="clear"/>
            <w:tcMar>
              <w:top w:type="dxa" w:w="80"/>
              <w:left w:type="dxa" w:w="120"/>
              <w:bottom w:type="dxa" w:w="80"/>
              <w:right w:type="dxa" w:w="120"/>
            </w:tcMar>
            <w:vAlign w:val="center"/>
          </w:tcPr>
          <w:p>
            <w:pPr>
              <w:jc w:val="left"/>
            </w:pPr>
            <w:r>
              <w:rPr>
                <w:rFonts w:ascii="Arial" w:cs="Arial" w:eastAsia="Arial" w:hAnsi="Arial"/>
                <w:b/>
                <w:bCs/>
                <w:color w:val="1F6B75"/>
                <w:sz w:val="18"/>
                <w:szCs w:val="18"/>
              </w:rPr>
              <w:t xml:space="preserve">L3</w:t>
            </w:r>
          </w:p>
        </w:tc>
        <w:tc>
          <w:tcPr>
            <w:tcW w:type="dxa" w:w="2400"/>
            <w:gridSpan w:val="1"/>
            <w:tcBorders>
              <w:top w:val="single" w:color="AAAAAA" w:sz="4"/>
              <w:left w:val="single" w:color="AAAAAA" w:sz="4"/>
              <w:bottom w:val="single" w:color="AAAAAA" w:sz="4"/>
              <w:right w:val="single" w:color="AAAAAA" w:sz="4"/>
            </w:tcBorders>
            <w:shd w:fill="D6EEF1" w:val="clear"/>
            <w:tcMar>
              <w:top w:type="dxa" w:w="80"/>
              <w:left w:type="dxa" w:w="120"/>
              <w:bottom w:type="dxa" w:w="80"/>
              <w:right w:type="dxa" w:w="120"/>
            </w:tcMar>
            <w:vAlign w:val="center"/>
          </w:tcPr>
          <w:p>
            <w:pPr>
              <w:jc w:val="left"/>
            </w:pPr>
            <w:r>
              <w:rPr>
                <w:rFonts w:ascii="Arial" w:cs="Arial" w:eastAsia="Arial" w:hAnsi="Arial"/>
                <w:b/>
                <w:bCs/>
                <w:color w:val="1F6B75"/>
                <w:sz w:val="18"/>
                <w:szCs w:val="18"/>
              </w:rPr>
              <w:t xml:space="preserve">CONTROL &amp; ASSET LAYER</w:t>
            </w:r>
          </w:p>
        </w:tc>
        <w:tc>
          <w:tcPr>
            <w:tcW w:type="dxa" w:w="5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Asset Mapping → Control Identification → Control Effectiveness → Gap Analysis</w:t>
            </w:r>
          </w:p>
        </w:tc>
      </w:tr>
      <w:tr>
        <w:tc>
          <w:tcPr>
            <w:tcW w:type="dxa" w:w="9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2E5FA3"/>
                <w:sz w:val="18"/>
                <w:szCs w:val="18"/>
              </w:rPr>
              <w:t xml:space="preserve">L4</w:t>
            </w:r>
          </w:p>
        </w:tc>
        <w:tc>
          <w:tcPr>
            <w:tcW w:type="dxa" w:w="24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2E5FA3"/>
                <w:sz w:val="18"/>
                <w:szCs w:val="18"/>
              </w:rPr>
              <w:t xml:space="preserve">OBLIGATION LAYER</w:t>
            </w:r>
          </w:p>
        </w:tc>
        <w:tc>
          <w:tcPr>
            <w:tcW w:type="dxa" w:w="5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SOP Linkage → Contractual Obligation → Regulatory Duty → Scheduling</w:t>
            </w:r>
          </w:p>
        </w:tc>
      </w:tr>
      <w:tr>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L5</w:t>
            </w:r>
          </w:p>
        </w:tc>
        <w:tc>
          <w:tcPr>
            <w:tcW w:type="dxa" w:w="24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SOURCE DOCUMENT LAYER</w:t>
            </w:r>
          </w:p>
        </w:tc>
        <w:tc>
          <w:tcPr>
            <w:tcW w:type="dxa" w:w="5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Regulation Clause → Standard Section → Contract Article → SOP Reference → Evidence</w:t>
            </w:r>
          </w:p>
        </w:tc>
      </w:tr>
    </w:tbl>
    <w:p>
      <w:pPr>
        <w:spacing w:after="60" w:before="60"/>
      </w:pPr>
      <w:r>
        <w:t xml:space="preserve"/>
      </w:r>
    </w:p>
    <w:p>
      <w:r>
        <w:br w:type="page"/>
      </w:r>
    </w:p>
    <w:p>
      <w:pPr>
        <w:pBdr>
          <w:bottom w:val="single" w:color="C00000" w:sz="8"/>
        </w:pBdr>
        <w:spacing w:after="100" w:before="280"/>
      </w:pPr>
      <w:r>
        <w:rPr>
          <w:rFonts w:ascii="Arial" w:cs="Arial" w:eastAsia="Arial" w:hAnsi="Arial"/>
          <w:b/>
          <w:bCs/>
          <w:color w:val="C00000"/>
          <w:sz w:val="22"/>
          <w:szCs w:val="22"/>
        </w:rPr>
        <w:t xml:space="preserve">SECTION 2 – INCIDENT RECORD: INC-2024-FSC-0047</w:t>
      </w:r>
    </w:p>
    <w:p>
      <w:pPr>
        <w:spacing w:after="60" w:before="60"/>
      </w:pPr>
      <w:r>
        <w:rPr>
          <w:rFonts w:ascii="Arial" w:cs="Arial" w:eastAsia="Arial" w:hAnsi="Arial"/>
          <w:sz w:val="20"/>
          <w:szCs w:val="20"/>
        </w:rPr>
        <w:t xml:space="preserve">The following incident serves as the anchor for all traceability mappings in this document. All regulatory, contractual, SOP, asset, hazard, and standard references below are traced back to this specific event.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INCIDENT DETAILS</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Incident ID</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INC-2024-FSC-0047</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Incident Title</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 Suppression System Activation Failure – Server Room B</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Date / Time</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 March 2024, 02:17 hrs</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Location</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Centre – Block C, Level 2, Server Room B</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Reported By</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Facilities Night Supervisor (John Mathai)</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Incident Type</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Equipment Failure / Near-Miss Fire Safety Event</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Severity</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 Potential loss of critical IT infrastructure &amp; life safety risk</w:t>
            </w:r>
          </w:p>
        </w:tc>
      </w:tr>
      <w:tr>
        <w:tc>
          <w:tcPr>
            <w:tcW w:type="dxa" w:w="22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Status</w:t>
            </w:r>
          </w:p>
        </w:tc>
        <w:tc>
          <w:tcPr>
            <w:tcW w:type="dxa" w:w="6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Under Investigation (RCA pending)</w:t>
            </w:r>
          </w:p>
        </w:tc>
      </w:tr>
    </w:tbl>
    <w:p>
      <w:pPr>
        <w:spacing w:after="60" w:before="60"/>
      </w:pPr>
      <w:r>
        <w:t xml:space="preserve"/>
      </w:r>
    </w:p>
    <w:p>
      <w:pPr>
        <w:pBdr>
          <w:bottom w:val="single" w:color="2E5FA3" w:sz="8"/>
        </w:pBdr>
        <w:spacing w:after="100" w:before="280"/>
      </w:pPr>
      <w:r>
        <w:rPr>
          <w:rFonts w:ascii="Arial" w:cs="Arial" w:eastAsia="Arial" w:hAnsi="Arial"/>
          <w:b/>
          <w:bCs/>
          <w:color w:val="2E5FA3"/>
          <w:sz w:val="22"/>
          <w:szCs w:val="22"/>
        </w:rPr>
        <w:t xml:space="preserve">SECTION 3 – LAYER-BY-LAYER INCIDENT TRACE (L1 → L5)</w:t>
      </w:r>
    </w:p>
    <w:p>
      <w:pPr>
        <w:spacing w:after="60" w:before="60"/>
      </w:pPr>
      <w:r>
        <w:rPr>
          <w:rFonts w:ascii="Arial" w:cs="Arial" w:eastAsia="Arial" w:hAnsi="Arial"/>
          <w:sz w:val="20"/>
          <w:szCs w:val="20"/>
        </w:rPr>
        <w:t xml:space="preserve">The table below maps the incident across each of the 5 layers, identifying the stages activated, key findings, and the source references linking each layer to the incident.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2900"/>
      </w:tblGrid>
      <w:tr>
        <w:trPr>
          <w:tblHeader/>
        </w:trPr>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 Activated</w:t>
            </w:r>
          </w:p>
        </w:tc>
        <w:tc>
          <w:tcPr>
            <w:tcW w:type="dxa" w:w="3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 Evidence</w:t>
            </w:r>
          </w:p>
        </w:tc>
        <w:tc>
          <w:tcPr>
            <w:tcW w:type="dxa" w:w="2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Linked Source Reference</w:t>
            </w:r>
          </w:p>
        </w:tc>
      </w:tr>
      <w:tr>
        <w:tc>
          <w:tcPr>
            <w:tcW w:type="dxa" w:w="9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L1
INCIDENT</w:t>
            </w:r>
          </w:p>
        </w:tc>
        <w:tc>
          <w:tcPr>
            <w:tcW w:type="dxa" w:w="2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0000"/>
                <w:sz w:val="18"/>
                <w:szCs w:val="18"/>
              </w:rPr>
              <w:t xml:space="preserve">Detection → Classification</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02:17 – Thermal alarm triggered. Suppression system failed to discharge. Manual intervention required at 02:24 hrs.</w:t>
            </w:r>
          </w:p>
        </w:tc>
        <w:tc>
          <w:tcPr>
            <w:tcW w:type="dxa" w:w="2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6"/>
                <w:szCs w:val="16"/>
              </w:rPr>
              <w:t xml:space="preserve">SOP-INC-004 §2.1.4 | NBC 2016 Part 4 §4.1.3.2</w:t>
            </w:r>
          </w:p>
        </w:tc>
      </w:tr>
      <w:tr>
        <w:tc>
          <w:tcPr>
            <w:tcW w:type="dxa" w:w="9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L2
RISK</w:t>
            </w:r>
          </w:p>
        </w:tc>
        <w:tc>
          <w:tcPr>
            <w:tcW w:type="dxa" w:w="2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8"/>
                <w:szCs w:val="18"/>
              </w:rPr>
              <w:t xml:space="preserve">Hazard ID → Residual Risk</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HAZ-022 (Suppression Failure) was identified as HIGH residual risk in 2023 HIRA. No additional control added post-HIRA.</w:t>
            </w:r>
          </w:p>
        </w:tc>
        <w:tc>
          <w:tcPr>
            <w:tcW w:type="dxa" w:w="2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6"/>
                <w:szCs w:val="16"/>
              </w:rPr>
              <w:t xml:space="preserve">Risk Register RR-2023 Row 22 | HIRA Ref H-SRB-004</w:t>
            </w:r>
          </w:p>
        </w:tc>
      </w:tr>
      <w:tr>
        <w:tc>
          <w:tcPr>
            <w:tcW w:type="dxa" w:w="900"/>
            <w:gridSpan w:val="1"/>
            <w:tcBorders>
              <w:top w:val="single" w:color="AAAAAA" w:sz="4"/>
              <w:left w:val="single" w:color="AAAAAA" w:sz="4"/>
              <w:bottom w:val="single" w:color="AAAAAA" w:sz="4"/>
              <w:right w:val="single" w:color="AAAAAA" w:sz="4"/>
            </w:tcBorders>
            <w:shd w:fill="D6EEF1" w:val="clear"/>
            <w:tcMar>
              <w:top w:type="dxa" w:w="80"/>
              <w:left w:type="dxa" w:w="120"/>
              <w:bottom w:type="dxa" w:w="80"/>
              <w:right w:type="dxa" w:w="120"/>
            </w:tcMar>
            <w:vAlign w:val="center"/>
          </w:tcPr>
          <w:p>
            <w:pPr>
              <w:jc w:val="left"/>
            </w:pPr>
            <w:r>
              <w:rPr>
                <w:rFonts w:ascii="Arial" w:cs="Arial" w:eastAsia="Arial" w:hAnsi="Arial"/>
                <w:b/>
                <w:bCs/>
                <w:color w:val="1F6B75"/>
                <w:sz w:val="18"/>
                <w:szCs w:val="18"/>
              </w:rPr>
              <w:t xml:space="preserve">L3
CONTROL</w:t>
            </w:r>
          </w:p>
        </w:tc>
        <w:tc>
          <w:tcPr>
            <w:tcW w:type="dxa" w:w="2000"/>
            <w:gridSpan w:val="1"/>
            <w:tcBorders>
              <w:top w:val="single" w:color="AAAAAA" w:sz="4"/>
              <w:left w:val="single" w:color="AAAAAA" w:sz="4"/>
              <w:bottom w:val="single" w:color="AAAAAA" w:sz="4"/>
              <w:right w:val="single" w:color="AAAAAA" w:sz="4"/>
            </w:tcBorders>
            <w:shd w:fill="D6EEF1" w:val="clear"/>
            <w:tcMar>
              <w:top w:type="dxa" w:w="80"/>
              <w:left w:type="dxa" w:w="120"/>
              <w:bottom w:type="dxa" w:w="80"/>
              <w:right w:type="dxa" w:w="120"/>
            </w:tcMar>
            <w:vAlign w:val="center"/>
          </w:tcPr>
          <w:p>
            <w:pPr>
              <w:jc w:val="left"/>
            </w:pPr>
            <w:r>
              <w:rPr>
                <w:rFonts w:ascii="Arial" w:cs="Arial" w:eastAsia="Arial" w:hAnsi="Arial"/>
                <w:b w:val="false"/>
                <w:bCs w:val="false"/>
                <w:color w:val="1F6B75"/>
                <w:sz w:val="18"/>
                <w:szCs w:val="18"/>
              </w:rPr>
              <w:t xml:space="preserve">Asset Mapping → Gap Analysis</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FM-200 unit FSU-C2-04 had overdue PM (6 months). Smoke detector fault on 2 units. Control gap: maintenance SLA breached.</w:t>
            </w:r>
          </w:p>
        </w:tc>
        <w:tc>
          <w:tcPr>
            <w:tcW w:type="dxa" w:w="2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6"/>
                <w:szCs w:val="16"/>
              </w:rPr>
              <w:t xml:space="preserve">AR-2021-FSU-004 | SOP-FS-001 §3.2 Step 7 | FireGuard Contract Sch B §B.4</w:t>
            </w:r>
          </w:p>
        </w:tc>
      </w:tr>
      <w:tr>
        <w:tc>
          <w:tcPr>
            <w:tcW w:type="dxa" w:w="9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2E5FA3"/>
                <w:sz w:val="18"/>
                <w:szCs w:val="18"/>
              </w:rPr>
              <w:t xml:space="preserve">L4
OBLIGATION</w:t>
            </w:r>
          </w:p>
        </w:tc>
        <w:tc>
          <w:tcPr>
            <w:tcW w:type="dxa" w:w="20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val="false"/>
                <w:bCs w:val="false"/>
                <w:color w:val="2E5FA3"/>
                <w:sz w:val="18"/>
                <w:szCs w:val="18"/>
              </w:rPr>
              <w:t xml:space="preserve">SOP Linkage → Regulatory Duty</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Three obligations breached: (1) NBC annual inspection, (2) FireGuard bi-annual PM, (3) OSHA annual functional test.</w:t>
            </w:r>
          </w:p>
        </w:tc>
        <w:tc>
          <w:tcPr>
            <w:tcW w:type="dxa" w:w="2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6"/>
                <w:szCs w:val="16"/>
              </w:rPr>
              <w:t xml:space="preserve">NBC 2016 §4.1.3.2 | OSHA 29 CFR 1910.164(c)(1) | SOP-FS-001 | FireGuard Contract §B.4.3</w:t>
            </w:r>
          </w:p>
        </w:tc>
      </w:tr>
      <w:tr>
        <w:tc>
          <w:tcPr>
            <w:tcW w:type="dxa" w:w="9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L5
SOURCE</w:t>
            </w:r>
          </w:p>
        </w:tc>
        <w:tc>
          <w:tcPr>
            <w:tcW w:type="dxa" w:w="2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Regulation → Standard → Contract</w:t>
            </w:r>
          </w:p>
        </w:tc>
        <w:tc>
          <w:tcPr>
            <w:tcW w:type="dxa" w:w="3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Non-compliance confirmed against NFPA 2001 Ch.7, ISO 45001 Clause 8.2, NBC Part 4. Contract breach: FireGuard SLA. SOP non-conformance: weekly log gap.</w:t>
            </w:r>
          </w:p>
        </w:tc>
        <w:tc>
          <w:tcPr>
            <w:tcW w:type="dxa" w:w="2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6"/>
                <w:szCs w:val="16"/>
              </w:rPr>
              <w:t xml:space="preserve">NFPA 2001 §7.1.2 | ISO 45001:2018 §8.2 | NBC 2016 §4.1.3 | FireGuard Contract Sch B</w:t>
            </w:r>
          </w:p>
        </w:tc>
      </w:tr>
    </w:tbl>
    <w:p>
      <w:pPr>
        <w:spacing w:after="60" w:before="60"/>
      </w:pPr>
      <w:r>
        <w:t xml:space="preserve"/>
      </w:r>
    </w:p>
    <w:p>
      <w:r>
        <w:br w:type="page"/>
      </w:r>
    </w:p>
    <w:p>
      <w:pPr>
        <w:pBdr>
          <w:bottom w:val="single" w:color="1F3864" w:sz="8"/>
        </w:pBdr>
        <w:spacing w:after="100" w:before="280"/>
      </w:pPr>
      <w:r>
        <w:rPr>
          <w:rFonts w:ascii="Arial" w:cs="Arial" w:eastAsia="Arial" w:hAnsi="Arial"/>
          <w:b/>
          <w:bCs/>
          <w:color w:val="1F3864"/>
          <w:sz w:val="22"/>
          <w:szCs w:val="22"/>
        </w:rPr>
        <w:t xml:space="preserve">SECTION 4 – FULL REVERSE TRACEABILITY REFERENCE MATRIX</w:t>
      </w:r>
    </w:p>
    <w:p>
      <w:pPr>
        <w:spacing w:after="60" w:before="60"/>
      </w:pPr>
      <w:r>
        <w:rPr>
          <w:rFonts w:ascii="Arial" w:cs="Arial" w:eastAsia="Arial" w:hAnsi="Arial"/>
          <w:sz w:val="20"/>
          <w:szCs w:val="20"/>
        </w:rPr>
        <w:t xml:space="preserve">The matrix below provides a comprehensive cross-reference of the incident against all six source types. For each mapping, the Obligation, Applicability, Controls Required, Schedule/Frequency, and Compliance Status are recorded. The Page / Section / Clause column enables direct navigation to the relevant portion of each source document.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300"/>
        <w:gridCol w:w="1300"/>
        <w:gridCol w:w="1000"/>
        <w:gridCol w:w="1000"/>
        <w:gridCol w:w="1000"/>
      </w:tblGrid>
      <w:tr>
        <w:trPr>
          <w:tblHeader/>
        </w:trPr>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Type</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Document / Reference</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Page / Section / Clause</w:t>
            </w:r>
          </w:p>
        </w:tc>
        <w:tc>
          <w:tcPr>
            <w:tcW w:type="dxa" w:w="13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Obligation</w:t>
            </w:r>
          </w:p>
        </w:tc>
        <w:tc>
          <w:tcPr>
            <w:tcW w:type="dxa" w:w="13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Applicability</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Controls Required</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Schedule / Frequency</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Compliance Status</w:t>
            </w:r>
          </w:p>
        </w:tc>
      </w:tr>
      <w:tr>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REGULATION</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National Building Code (NBC) 2016</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Part 4, §4.1.3, Clause 4.1.3.2</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Fire suppression systems shall be installed in all server/data rooms exceeding 50 sqm</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data centres with server rooms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Automatic suppression system (Clean Agent/FM-200)</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inspection + post-incident re-certification</w:t>
            </w:r>
          </w:p>
        </w:tc>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NON-COMPLIANT – system failed to activate</w:t>
            </w:r>
          </w:p>
        </w:tc>
      </w:tr>
      <w:tr>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0000"/>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 29 CFR 1910.164</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Subpart L, §1910.164(c)(1)</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Fire detection systems must be tested at least annually by a qualified service company</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workplace fire protection systems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Functional test of detectors, alarms, suppression linkage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test; records retained for 3 years</w:t>
            </w:r>
          </w:p>
        </w:tc>
        <w:tc>
          <w:tcPr>
            <w:tcW w:type="dxa" w:w="100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bCs/>
                <w:color w:val="4B0082"/>
                <w:sz w:val="16"/>
                <w:szCs w:val="16"/>
              </w:rPr>
              <w:t xml:space="preserve">UNDER REVIEW – last test 11 months prior</w:t>
            </w:r>
          </w:p>
        </w:tc>
      </w:tr>
      <w:tr>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val="false"/>
                <w:bCs w:val="false"/>
                <w:color w:val="C00000"/>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ISO 45001:2018 OHS MS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Clause 8.1.2, §8.2</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Organisation shall plan and control emergency preparedness and response</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site operations with fire risk</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Emergency response plan, drill records, response procedure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Half-yearly drills; annual plan review</w:t>
            </w:r>
          </w:p>
        </w:tc>
        <w:tc>
          <w:tcPr>
            <w:tcW w:type="dxa" w:w="1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6"/>
                <w:szCs w:val="16"/>
              </w:rPr>
              <w:t xml:space="preserve">PARTIAL – drill done, plan not updated post-renovation</w:t>
            </w:r>
          </w:p>
        </w:tc>
      </w:tr>
      <w:tr>
        <w:tc>
          <w:tcPr>
            <w:tcW w:type="dxa" w:w="1000"/>
            <w:gridSpan w:val="1"/>
            <w:tcBorders>
              <w:top w:val="single" w:color="AAAAAA" w:sz="4"/>
              <w:left w:val="single" w:color="AAAAAA" w:sz="4"/>
              <w:bottom w:val="single" w:color="AAAAAA" w:sz="4"/>
              <w:right w:val="single" w:color="AAAAAA" w:sz="4"/>
            </w:tcBorders>
            <w:shd w:fill="D6EEF1" w:val="clear"/>
            <w:tcMar>
              <w:top w:type="dxa" w:w="80"/>
              <w:left w:type="dxa" w:w="120"/>
              <w:bottom w:type="dxa" w:w="80"/>
              <w:right w:type="dxa" w:w="120"/>
            </w:tcMar>
            <w:vAlign w:val="center"/>
          </w:tcPr>
          <w:p>
            <w:pPr>
              <w:jc w:val="left"/>
            </w:pPr>
            <w:r>
              <w:rPr>
                <w:rFonts w:ascii="Arial" w:cs="Arial" w:eastAsia="Arial" w:hAnsi="Arial"/>
                <w:b/>
                <w:bCs/>
                <w:color w:val="1F6B75"/>
                <w:sz w:val="18"/>
                <w:szCs w:val="18"/>
              </w:rPr>
              <w:t xml:space="preserve">CONTRACT</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FM Service Agreement – FireGuard Pvt Ltd</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Schedule B, §B.4, Article 4.3</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Contractor shall conduct bi-annual preventive maintenance of all suppression units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suppression system assets under contract scope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PM checklist completion, fault rectification within 48 hrs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Bi-annual PM; 48-hr response SLA for faults</w:t>
            </w:r>
          </w:p>
        </w:tc>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NON-COMPLIANT – PM overdue by 6 weeks</w:t>
            </w:r>
          </w:p>
        </w:tc>
      </w:tr>
      <w:tr>
        <w:tc>
          <w:tcPr>
            <w:tcW w:type="dxa" w:w="1000"/>
            <w:gridSpan w:val="1"/>
            <w:tcBorders>
              <w:top w:val="single" w:color="AAAAAA" w:sz="4"/>
              <w:left w:val="single" w:color="AAAAAA" w:sz="4"/>
              <w:bottom w:val="single" w:color="AAAAAA" w:sz="4"/>
              <w:right w:val="single" w:color="AAAAAA" w:sz="4"/>
            </w:tcBorders>
            <w:shd w:fill="D6EEF1" w:val="clear"/>
            <w:tcMar>
              <w:top w:type="dxa" w:w="80"/>
              <w:left w:type="dxa" w:w="120"/>
              <w:bottom w:type="dxa" w:w="80"/>
              <w:right w:type="dxa" w:w="120"/>
            </w:tcMar>
            <w:vAlign w:val="center"/>
          </w:tcPr>
          <w:p>
            <w:pPr>
              <w:jc w:val="left"/>
            </w:pPr>
            <w:r>
              <w:rPr>
                <w:rFonts w:ascii="Arial" w:cs="Arial" w:eastAsia="Arial" w:hAnsi="Arial"/>
                <w:b w:val="false"/>
                <w:bCs w:val="false"/>
                <w:color w:val="1F6B75"/>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Data Centre Facility Lease – Sigma Infra</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Clause 12.7(b), §12.7</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Tenant obligations include maintaining suppression systems per local fire code</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Tenant (organisation) – all leased data centre areas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System maintenance log, code compliance cert</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compliance certificate submission to landlord</w:t>
            </w:r>
          </w:p>
        </w:tc>
        <w:tc>
          <w:tcPr>
            <w:tcW w:type="dxa" w:w="100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bCs/>
                <w:color w:val="4B0082"/>
                <w:sz w:val="16"/>
                <w:szCs w:val="16"/>
              </w:rPr>
              <w:t xml:space="preserve">AT RISK – certificate renewal pending</w:t>
            </w:r>
          </w:p>
        </w:tc>
      </w:tr>
      <w:tr>
        <w:tc>
          <w:tcPr>
            <w:tcW w:type="dxa" w:w="1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SOP</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SOP-FS-001: Fire Suppression Inspection</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Section 3.2, Step 7 (Trigger Test)</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Weekly visual inspection of suppression control panel; monthly sensor check</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Facilities team – all fire suppression zones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Completed inspection log, signed off by supervisor</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Weekly visual / Monthly functional check</w:t>
            </w:r>
          </w:p>
        </w:tc>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NON-COMPLIANT – weekly log missing for 3 weeks</w:t>
            </w:r>
          </w:p>
        </w:tc>
      </w:tr>
      <w:tr>
        <w:tc>
          <w:tcPr>
            <w:tcW w:type="dxa" w:w="1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SOP-INC-004: Incident Notification &amp; Escalation</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Section 2.1, §2.1.4 (Escalation Matrix)</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Severity H/Critical incidents to be escalated to Head – HSE within 15 minutes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On-call supervisor, Security team, HSE team</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Notification timestamp recorded in IMS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Immediate (within 15 min for HIGH severity)</w:t>
            </w:r>
          </w:p>
        </w:tc>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6"/>
                <w:szCs w:val="16"/>
              </w:rPr>
              <w:t xml:space="preserve">COMPLIANT – escalated at 02:31 hrs (14 min)</w:t>
            </w:r>
          </w:p>
        </w:tc>
      </w:tr>
      <w:tr>
        <w:tc>
          <w:tcPr>
            <w:tcW w:type="dxa" w:w="1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7F6000"/>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SOP-DR-007: Data Centre Emergency Response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Section 5, §5.3.2 (Server Room Fire)</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Evacuation, system isolation, and IT shutdown sequence for server room fire events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IT, Facilities, Security – Server Room zones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Evacuation drill records, shutdown procedure checklist</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Bi-annual drill; annual SOP review</w:t>
            </w:r>
          </w:p>
        </w:tc>
        <w:tc>
          <w:tcPr>
            <w:tcW w:type="dxa" w:w="1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6"/>
                <w:szCs w:val="16"/>
              </w:rPr>
              <w:t xml:space="preserve">PARTIAL – shutdown sequence partially followed</w:t>
            </w:r>
          </w:p>
        </w:tc>
      </w:tr>
      <w:tr>
        <w:tc>
          <w:tcPr>
            <w:tcW w:type="dxa" w:w="10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bCs/>
                <w:color w:val="2E5FA3"/>
                <w:sz w:val="18"/>
                <w:szCs w:val="18"/>
              </w:rPr>
              <w:t xml:space="preserve">ASSET</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FM-200 Clean Agent System – Unit FSU-C2-04</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Asset Register: AR-2021-FSU-004, Maint. Schedule MS-FSU-04</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Asset to be maintained per manufacturer spec and fire code; PM every 6 months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Server Room B – Block C Level 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PM records, pressure gauge log, nozzle inspection checklist</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6-monthly PM; annual recharge verification</w:t>
            </w:r>
          </w:p>
        </w:tc>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NON-COMPLIANT – overdue PM (last: Sep 2023)</w:t>
            </w:r>
          </w:p>
        </w:tc>
      </w:tr>
      <w:tr>
        <w:tc>
          <w:tcPr>
            <w:tcW w:type="dxa" w:w="10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val="false"/>
                <w:bCs w:val="false"/>
                <w:color w:val="2E5FA3"/>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Smoke Detector Array – Zone C2-B</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Asset Register: AR-2019-DET-C2B, Test Log TL-C2B</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detectors to be tested monthly and certified annually</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Server Room B zone (12 detector units)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test log, annual certification by approved contractor</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test; annual cert</w:t>
            </w:r>
          </w:p>
        </w:tc>
        <w:tc>
          <w:tcPr>
            <w:tcW w:type="dxa" w:w="100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bCs/>
                <w:color w:val="4B0082"/>
                <w:sz w:val="16"/>
                <w:szCs w:val="16"/>
              </w:rPr>
              <w:t xml:space="preserve">UNDER REVIEW – 2 of 12 units showed fault on post-incident check</w:t>
            </w:r>
          </w:p>
        </w:tc>
      </w:tr>
      <w:tr>
        <w:tc>
          <w:tcPr>
            <w:tcW w:type="dxa" w:w="1000"/>
            <w:gridSpan w:val="1"/>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vAlign w:val="center"/>
          </w:tcPr>
          <w:p>
            <w:pPr>
              <w:jc w:val="left"/>
            </w:pPr>
            <w:r>
              <w:rPr>
                <w:rFonts w:ascii="Arial" w:cs="Arial" w:eastAsia="Arial" w:hAnsi="Arial"/>
                <w:b w:val="false"/>
                <w:bCs w:val="false"/>
                <w:color w:val="2E5FA3"/>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Emergency Lighting System – Block C L2</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Asset Register: AR-2020-EML-CL2, Test Record TR-EML-22</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Emergency lighting to activate within 5 sec of main power loss and sustain 3 hrs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egress routes – Block C Level 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self-test log, annual duration test</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auto-test; annual 3-hr duration test</w:t>
            </w:r>
          </w:p>
        </w:tc>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6"/>
                <w:szCs w:val="16"/>
              </w:rPr>
              <w:t xml:space="preserve">COMPLIANT – operated correctly during incident</w:t>
            </w:r>
          </w:p>
        </w:tc>
      </w:tr>
      <w:tr>
        <w:tc>
          <w:tcPr>
            <w:tcW w:type="dxa" w:w="100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bCs/>
                <w:color w:val="4B0082"/>
                <w:sz w:val="18"/>
                <w:szCs w:val="18"/>
              </w:rPr>
              <w:t xml:space="preserve">HAZARD</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HAZ-014: Electrical Overload in Server Room</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Risk Register RR-2023 – Row 14, HIRA Ref H-SRB-004</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Controls: UPS redundancy, cable management audit, thermal monitoring, suppression</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Server Room B – all rack installations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UPS test records, thermal scan report, cable audit log</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Quarterly thermal scan; annual UPS load test</w:t>
            </w:r>
          </w:p>
        </w:tc>
        <w:tc>
          <w:tcPr>
            <w:tcW w:type="dxa" w:w="10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6"/>
                <w:szCs w:val="16"/>
              </w:rPr>
              <w:t xml:space="preserve">PARTIAL – thermal monitoring active; UPS test overdue</w:t>
            </w:r>
          </w:p>
        </w:tc>
      </w:tr>
      <w:tr>
        <w:tc>
          <w:tcPr>
            <w:tcW w:type="dxa" w:w="100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4B0082"/>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HAZ-022: Suppression System Failure to Activate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Risk Register RR-2023 – Row 22 (Residual Risk: HIGH)</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Critical residual risk. Requires escalated controls and quarterly verification</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fire suppression zones – data centre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Quarterly functional test, redundant activation path</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Quarterly (elevated due to HIGH residual risk)</w:t>
            </w:r>
          </w:p>
        </w:tc>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NON-COMPLIANT – this incident is the materialisation of HAZ-022</w:t>
            </w:r>
          </w:p>
        </w:tc>
      </w:tr>
      <w:tr>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STANDARD</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NFPA 2001 (2022 Ed): Clean Agent Systems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Chapter 4, §4.1.1; Chapter 7, §7.1.2</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Design, installation, testing and maintenance of clean agent fire extinguishing systems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facilities using clean agent suppression (FM-200, Novec 1230)</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Installation cert, commissioning record, annual inspection by NFPA-qualified tech</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inspection; recharge per manufacturer spec</w:t>
            </w:r>
          </w:p>
        </w:tc>
        <w:tc>
          <w:tcPr>
            <w:tcW w:type="dxa" w:w="10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NON-COMPLIANT – inspection cert expired; recharge not verified</w:t>
            </w:r>
          </w:p>
        </w:tc>
      </w:tr>
      <w:tr>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ISO 7240-1:2023 Fire Detection &amp; Alarm</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Part 1 §5.3; Part 14 §6.1.2</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Fire detection systems shall be tested to verify functionality per design intent</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fire zones with installed detection systems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Type-test certificate, periodic functional test records, maintenance log</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test; 5-yearly type re-verification</w:t>
            </w:r>
          </w:p>
        </w:tc>
        <w:tc>
          <w:tcPr>
            <w:tcW w:type="dxa" w:w="100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bCs/>
                <w:color w:val="4B0082"/>
                <w:sz w:val="16"/>
                <w:szCs w:val="16"/>
              </w:rPr>
              <w:t xml:space="preserve">UNDER REVIEW – records incomplete for 2 detector units</w:t>
            </w:r>
          </w:p>
        </w:tc>
      </w:tr>
      <w:tr>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IEC 62443 (Industrial Cyber-Physical Security)</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Part 2-1 §4.3.3.3.4; Part 3-3 §SR 7.3</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Physical security controls for critical infrastructure including fire/environmental monitoring</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IT infrastructure – server rooms, control rooms</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Physical access log, environmental monitoring system validation</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Quarterly access review; annual physical security audit</w:t>
            </w:r>
          </w:p>
        </w:tc>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6"/>
                <w:szCs w:val="16"/>
              </w:rPr>
              <w:t xml:space="preserve">COMPLIANT – access controls functioning; monitoring integration active</w:t>
            </w:r>
          </w:p>
        </w:tc>
      </w:tr>
    </w:tbl>
    <w:p>
      <w:pPr>
        <w:spacing w:after="60" w:before="60"/>
      </w:pPr>
      <w:r>
        <w:t xml:space="preserve"/>
      </w:r>
    </w:p>
    <w:p>
      <w:r>
        <w:br w:type="page"/>
      </w:r>
    </w:p>
    <w:p>
      <w:pPr>
        <w:pBdr>
          <w:bottom w:val="single" w:color="C55A11" w:sz="8"/>
        </w:pBdr>
        <w:spacing w:after="100" w:before="280"/>
      </w:pPr>
      <w:r>
        <w:rPr>
          <w:rFonts w:ascii="Arial" w:cs="Arial" w:eastAsia="Arial" w:hAnsi="Arial"/>
          <w:b/>
          <w:bCs/>
          <w:color w:val="C55A11"/>
          <w:sz w:val="22"/>
          <w:szCs w:val="22"/>
        </w:rPr>
        <w:t xml:space="preserve">SECTION 5 – CORRECTIVE ACTION PLAN</w:t>
      </w:r>
    </w:p>
    <w:p>
      <w:pPr>
        <w:spacing w:after="60" w:before="60"/>
      </w:pPr>
      <w:r>
        <w:rPr>
          <w:rFonts w:ascii="Arial" w:cs="Arial" w:eastAsia="Arial" w:hAnsi="Arial"/>
          <w:sz w:val="20"/>
          <w:szCs w:val="20"/>
        </w:rPr>
        <w:t xml:space="preserve">Based on the traceability analysis, the following corrective actions are required to restore compliance. Each action is linked to its originating obligation and source reference.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1600"/>
        <w:gridCol w:w="1600"/>
        <w:gridCol w:w="1500"/>
      </w:tblGrid>
      <w:tr>
        <w:trPr>
          <w:tblHeader/>
        </w:trPr>
        <w:tc>
          <w:tcPr>
            <w:tcW w:type="dxa" w:w="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Corrective Action</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Linked Obligation</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1</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Immediately inspect and service FM-200 unit FSU-C2-04; obtain re-certification</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Facilities Manager</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NFPA 2001 §7.1.2; NBC §4.1.3.2; FireGuard Contract §B.4</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 Mar 2024</w:t>
            </w:r>
          </w:p>
        </w:tc>
        <w:tc>
          <w:tcPr>
            <w:tcW w:type="dxa" w:w="15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2</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full functional test of all 12 smoke detectors in Zone C2-B</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 Engineer</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ISO 7240-1 §5.3; OSHA 29 CFR 1910.164(c)(1)</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 Mar 2024</w:t>
            </w:r>
          </w:p>
        </w:tc>
        <w:tc>
          <w:tcPr>
            <w:tcW w:type="dxa" w:w="150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3</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HAZ-022 in Risk Register; add quarterly suppression verification as control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 Manager</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ISO 45001 §8.1.2; RR-2023 Row 22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 Mar 2024</w:t>
            </w:r>
          </w:p>
        </w:tc>
        <w:tc>
          <w:tcPr>
            <w:tcW w:type="dxa" w:w="15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HIGH</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4</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Issue formal breach notice to FireGuard; initiate SLA review and PM catch-up</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Procurement / Legal</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FireGuard Contract Sch B §B.4.3</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 Mar 2024</w:t>
            </w:r>
          </w:p>
        </w:tc>
        <w:tc>
          <w:tcPr>
            <w:tcW w:type="dxa" w:w="15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HIGH</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5</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Close SOP-FS-001 log gaps; retrain facilities staff on weekly inspection protocol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Facilities Supervisor</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SOP-FS-001 §3.2; SOP-INC-004 §2.1.4</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 Mar 2024</w:t>
            </w:r>
          </w:p>
        </w:tc>
        <w:tc>
          <w:tcPr>
            <w:tcW w:type="dxa" w:w="15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6</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emergency response plan (SOP-DR-007) post-renovation; conduct full drill</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 Manager</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ISO 45001 §8.2; SOP-DR-007 §5.3.2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 Apr 2024</w:t>
            </w:r>
          </w:p>
        </w:tc>
        <w:tc>
          <w:tcPr>
            <w:tcW w:type="dxa" w:w="15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595959"/>
                <w:sz w:val="18"/>
                <w:szCs w:val="18"/>
              </w:rPr>
              <w:t xml:space="preserve">7</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Renew annual compliance certificate for Sigma Infra lease obligations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Facilities Manager</w:t>
            </w:r>
          </w:p>
        </w:tc>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Lease Clause 12.7(b)</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 Apr 2024</w:t>
            </w:r>
          </w:p>
        </w:tc>
        <w:tc>
          <w:tcPr>
            <w:tcW w:type="dxa" w:w="15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MEDIUM</w:t>
            </w:r>
          </w:p>
        </w:tc>
      </w:tr>
    </w:tbl>
    <w:p>
      <w:pPr>
        <w:spacing w:after="60" w:before="60"/>
      </w:pPr>
      <w:r>
        <w:t xml:space="preserve"/>
      </w:r>
    </w:p>
    <w:p>
      <w:pPr>
        <w:pBdr>
          <w:bottom w:val="single" w:color="595959" w:sz="8"/>
        </w:pBdr>
        <w:spacing w:after="100" w:before="280"/>
      </w:pPr>
      <w:r>
        <w:rPr>
          <w:rFonts w:ascii="Arial" w:cs="Arial" w:eastAsia="Arial" w:hAnsi="Arial"/>
          <w:b/>
          <w:bCs/>
          <w:color w:val="595959"/>
          <w:sz w:val="22"/>
          <w:szCs w:val="22"/>
        </w:rPr>
        <w:t xml:space="preserve">SECTION 6 – COMPLIANCE STATUS LEGEND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COMPLIANT</w:t>
            </w:r>
          </w:p>
        </w:tc>
        <w:tc>
          <w:tcPr>
            <w:tcW w:type="dxa" w:w="2250"/>
            <w:gridSpan w:val="1"/>
            <w:tcBorders>
              <w:top w:val="single" w:color="AAAAAA" w:sz="4"/>
              <w:left w:val="single" w:color="AAAAAA" w:sz="4"/>
              <w:bottom w:val="single" w:color="AAAAAA" w:sz="4"/>
              <w:right w:val="single" w:color="AAAAAA" w:sz="4"/>
            </w:tcBorders>
            <w:shd w:fill="FCE4EC"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NON-COMPLIANT</w:t>
            </w:r>
          </w:p>
        </w:tc>
        <w:tc>
          <w:tcPr>
            <w:tcW w:type="dxa" w:w="225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PARTIAL</w:t>
            </w:r>
          </w:p>
        </w:tc>
        <w:tc>
          <w:tcPr>
            <w:tcW w:type="dxa" w:w="2250"/>
            <w:gridSpan w:val="1"/>
            <w:tcBorders>
              <w:top w:val="single" w:color="AAAAAA" w:sz="4"/>
              <w:left w:val="single" w:color="AAAAAA" w:sz="4"/>
              <w:bottom w:val="single" w:color="AAAAAA" w:sz="4"/>
              <w:right w:val="single" w:color="AAAAAA" w:sz="4"/>
            </w:tcBorders>
            <w:shd w:fill="EDE7F6" w:val="clear"/>
            <w:tcMar>
              <w:top w:type="dxa" w:w="80"/>
              <w:left w:type="dxa" w:w="120"/>
              <w:bottom w:type="dxa" w:w="80"/>
              <w:right w:type="dxa" w:w="120"/>
            </w:tcMar>
            <w:vAlign w:val="center"/>
          </w:tcPr>
          <w:p>
            <w:pPr>
              <w:jc w:val="left"/>
            </w:pPr>
            <w:r>
              <w:rPr>
                <w:rFonts w:ascii="Arial" w:cs="Arial" w:eastAsia="Arial" w:hAnsi="Arial"/>
                <w:b/>
                <w:bCs/>
                <w:color w:val="4B0082"/>
                <w:sz w:val="18"/>
                <w:szCs w:val="18"/>
              </w:rPr>
              <w:t xml:space="preserve">UNDER REVIEW / AT RISK</w:t>
            </w:r>
          </w:p>
        </w:tc>
      </w:tr>
    </w:tbl>
    <w:p>
      <w:pPr>
        <w:spacing w:after="60" w:before="60"/>
      </w:pPr>
      <w:r>
        <w:t xml:space="preserve"/>
      </w:r>
    </w:p>
    <w:p>
      <w:pPr>
        <w:pBdr>
          <w:bottom w:val="single" w:color="595959" w:sz="8"/>
        </w:pBdr>
        <w:spacing w:after="100" w:before="280"/>
      </w:pPr>
      <w:r>
        <w:rPr>
          <w:rFonts w:ascii="Arial" w:cs="Arial" w:eastAsia="Arial" w:hAnsi="Arial"/>
          <w:b/>
          <w:bCs/>
          <w:color w:val="595959"/>
          <w:sz w:val="22"/>
          <w:szCs w:val="22"/>
        </w:rPr>
        <w:t xml:space="preserve">SECTION 7 – DOCUMENT NOTES &amp; USAGE GUIDANCE</w:t>
      </w:r>
    </w:p>
    <w:p>
      <w:pPr>
        <w:spacing w:after="60" w:before="60"/>
      </w:pPr>
      <w:r>
        <w:rPr>
          <w:rFonts w:ascii="Arial" w:cs="Arial" w:eastAsia="Arial" w:hAnsi="Arial"/>
          <w:b/>
          <w:bCs/>
          <w:sz w:val="20"/>
          <w:szCs w:val="20"/>
        </w:rPr>
        <w:t xml:space="preserve">How to use this matrix:</w:t>
      </w:r>
    </w:p>
    <w:p>
      <w:pPr>
        <w:spacing w:after="60" w:before="60"/>
      </w:pPr>
      <w:r>
        <w:rPr>
          <w:rFonts w:ascii="Arial" w:cs="Arial" w:eastAsia="Arial" w:hAnsi="Arial"/>
          <w:color w:val="595959"/>
          <w:sz w:val="20"/>
          <w:szCs w:val="20"/>
        </w:rPr>
        <w:t xml:space="preserve">1. INCIDENT ANCHOR: Start with a specific incident ID. All traceability flows upward from L1 to L5.</w:t>
      </w:r>
    </w:p>
    <w:p>
      <w:pPr>
        <w:spacing w:after="60" w:before="60"/>
      </w:pPr>
      <w:r>
        <w:rPr>
          <w:rFonts w:ascii="Arial" w:cs="Arial" w:eastAsia="Arial" w:hAnsi="Arial"/>
          <w:color w:val="595959"/>
          <w:sz w:val="20"/>
          <w:szCs w:val="20"/>
        </w:rPr>
        <w:t xml:space="preserve">2. SOURCE NAVIGATION: Use the 'Page / Section / Clause' column to locate the exact provision in the source document.</w:t>
      </w:r>
    </w:p>
    <w:p>
      <w:pPr>
        <w:spacing w:after="60" w:before="60"/>
      </w:pPr>
      <w:r>
        <w:rPr>
          <w:rFonts w:ascii="Arial" w:cs="Arial" w:eastAsia="Arial" w:hAnsi="Arial"/>
          <w:color w:val="595959"/>
          <w:sz w:val="20"/>
          <w:szCs w:val="20"/>
        </w:rPr>
        <w:t xml:space="preserve">3. COMPLIANCE ASSESSMENT: The 'Compliance Status' column reflects the state at the time of the incident. Post-remediation status should be updated in the GRC system.</w:t>
      </w:r>
    </w:p>
    <w:p>
      <w:pPr>
        <w:spacing w:after="60" w:before="60"/>
      </w:pPr>
      <w:r>
        <w:rPr>
          <w:rFonts w:ascii="Arial" w:cs="Arial" w:eastAsia="Arial" w:hAnsi="Arial"/>
          <w:color w:val="595959"/>
          <w:sz w:val="20"/>
          <w:szCs w:val="20"/>
        </w:rPr>
        <w:t xml:space="preserve">4. OBLIGATION TRACKING: Each obligation row is independently trackable — it can be linked to a schedule/calendar task in the GRC platform.</w:t>
      </w:r>
    </w:p>
    <w:p>
      <w:pPr>
        <w:spacing w:after="60" w:before="60"/>
      </w:pPr>
      <w:r>
        <w:rPr>
          <w:rFonts w:ascii="Arial" w:cs="Arial" w:eastAsia="Arial" w:hAnsi="Arial"/>
          <w:color w:val="595959"/>
          <w:sz w:val="20"/>
          <w:szCs w:val="20"/>
        </w:rPr>
        <w:t xml:space="preserve">5. MULTI-INCIDENT USE: This template can be replicated for any incident type. Replace Section 2 details and re-run the traceability analysis per the 5-layer model.</w:t>
      </w:r>
    </w:p>
    <w:p>
      <w:pPr>
        <w:spacing w:after="60" w:before="60"/>
      </w:pPr>
      <w:r>
        <w:t xml:space="preserve"/>
      </w:r>
    </w:p>
    <w:p>
      <w:pPr>
        <w:spacing w:after="60" w:before="60"/>
      </w:pPr>
      <w:r>
        <w:t xml:space="preserve"/>
      </w:r>
    </w:p>
    <w:p>
      <w:pPr>
        <w:pBdr>
          <w:top w:val="single" w:color="D9E2F3" w:sz="4"/>
        </w:pBdr>
        <w:spacing w:after="0" w:before="120"/>
      </w:pPr>
      <w:r>
        <w:rPr>
          <w:rFonts w:ascii="Arial" w:cs="Arial" w:eastAsia="Arial" w:hAnsi="Arial"/>
          <w:color w:val="595959"/>
          <w:sz w:val="16"/>
          <w:szCs w:val="16"/>
        </w:rPr>
        <w:t xml:space="preserve">Generated by GRC Platform – Reverse Traceability Module  |  Version 1.0  |  May 2026  |  CONFIDENTIAL</w:t>
      </w:r>
    </w:p>
    <w:sectPr>
      <w:headerReference w:type="default" r:id="rId7"/>
      <w:footerReference w:type="default" r:id="rId8"/>
      <w:pgSz w:w="15840" w:h="2016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pBdr>
    </w:pPr>
    <w:r>
      <w:rPr>
        <w:rFonts w:ascii="Arial" w:cs="Arial" w:eastAsia="Arial" w:hAnsi="Arial"/>
        <w:color w:val="595959"/>
        <w:sz w:val="16"/>
        <w:szCs w:val="16"/>
      </w:rPr>
      <w:t xml:space="preserve">INC-2024-FSC-0047  |  Fire Suppression System Activation Failure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pPr>
    <w:r>
      <w:rPr>
        <w:rFonts w:ascii="Arial" w:cs="Arial" w:eastAsia="Arial" w:hAnsi="Arial"/>
        <w:b/>
        <w:bCs/>
        <w:color w:val="1F3864"/>
        <w:sz w:val="18"/>
        <w:szCs w:val="18"/>
      </w:rPr>
      <w:t xml:space="preserve">GRC Platform – Reverse Traceability Reference Matrix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2026-05-30T03:27:10.512Z</dcterms:created>
  <dcterms:modified xsi:type="dcterms:W3CDTF">2026-05-30T03:27:10.512Z</dcterms:modified>
</cp:coreProperties>
</file>

<file path=docProps/custom.xml><?xml version="1.0" encoding="utf-8"?>
<Properties xmlns="http://schemas.openxmlformats.org/officeDocument/2006/custom-properties" xmlns:vt="http://schemas.openxmlformats.org/officeDocument/2006/docPropsVTypes"/>
</file>