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2621363" wp14:paraId="0F11DA95" wp14:textId="752C534D">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2621363" w:rsidR="1CD98C83">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32621363" wp14:paraId="181401CF" wp14:textId="2B7475B2">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2621363" w:rsidR="1CD98C83">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32621363" wp14:paraId="60833236" wp14:textId="3C197C1D">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2621363" w:rsidR="1CD98C83">
        <w:rPr>
          <w:rFonts w:ascii="Calibri" w:hAnsi="Calibri" w:eastAsia="Calibri" w:cs="Calibri"/>
          <w:b w:val="0"/>
          <w:bCs w:val="0"/>
          <w:i w:val="0"/>
          <w:iCs w:val="0"/>
          <w:caps w:val="0"/>
          <w:smallCaps w:val="0"/>
          <w:noProof w:val="0"/>
          <w:color w:val="000000" w:themeColor="text1" w:themeTint="FF" w:themeShade="FF"/>
          <w:sz w:val="24"/>
          <w:szCs w:val="24"/>
          <w:lang w:val="en-US"/>
        </w:rPr>
        <w:t>Discussion 3_4</w:t>
      </w:r>
    </w:p>
    <w:p xmlns:wp14="http://schemas.microsoft.com/office/word/2010/wordml" w:rsidP="32621363" wp14:paraId="3711A643" wp14:textId="408A36BF">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2621363" w:rsidR="336C0C3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Justifying the purchase of expensive project management software hinges on several key factors. First, it significantly enhances efficiency by automating tasks, streamlining workflows, and centralizing project information, reducing delays and resource misallocation. Second, it fosters improved collaboration among remote teams, a crucial advantage in today's work landscape. </w:t>
      </w:r>
    </w:p>
    <w:p xmlns:wp14="http://schemas.microsoft.com/office/word/2010/wordml" w:rsidP="32621363" wp14:paraId="7F29FDD6" wp14:textId="347E564F">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2621363" w:rsidR="336C0C31">
        <w:rPr>
          <w:rFonts w:ascii="Calibri" w:hAnsi="Calibri" w:eastAsia="Calibri" w:cs="Calibri"/>
          <w:b w:val="0"/>
          <w:bCs w:val="0"/>
          <w:i w:val="0"/>
          <w:iCs w:val="0"/>
          <w:caps w:val="0"/>
          <w:smallCaps w:val="0"/>
          <w:noProof w:val="0"/>
          <w:color w:val="000000" w:themeColor="text1" w:themeTint="FF" w:themeShade="FF"/>
          <w:sz w:val="24"/>
          <w:szCs w:val="24"/>
          <w:lang w:val="en-US"/>
        </w:rPr>
        <w:t>Furthermore, the software empowers data-driven decision-making through robust reporting and analytics, leading to better project outcomes and risk mitigation. Beyond immediate benefits, it reinforces compliance, accountability, and scalability, positioning it as a long-term investment in an organization's success.</w:t>
      </w:r>
    </w:p>
    <w:p xmlns:wp14="http://schemas.microsoft.com/office/word/2010/wordml" w:rsidP="32621363" wp14:paraId="75248D86" wp14:textId="1C7FA340">
      <w:pPr>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2621363" w:rsidR="336C0C31">
        <w:rPr>
          <w:rFonts w:ascii="Calibri" w:hAnsi="Calibri" w:eastAsia="Calibri" w:cs="Calibri"/>
          <w:b w:val="0"/>
          <w:bCs w:val="0"/>
          <w:i w:val="0"/>
          <w:iCs w:val="0"/>
          <w:caps w:val="0"/>
          <w:smallCaps w:val="0"/>
          <w:noProof w:val="0"/>
          <w:color w:val="000000" w:themeColor="text1" w:themeTint="FF" w:themeShade="FF"/>
          <w:sz w:val="24"/>
          <w:szCs w:val="24"/>
          <w:lang w:val="en-US"/>
        </w:rPr>
        <w:t>In essence, the software's capacity to drive efficiency, collaboration, data-driven decisions, compliance, and scalability justifies its cost, offering both immediate and long-term value to the organization.</w:t>
      </w:r>
    </w:p>
    <w:p xmlns:wp14="http://schemas.microsoft.com/office/word/2010/wordml" w:rsidP="32621363" wp14:paraId="2C078E63" wp14:textId="5200DE5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38F7CC"/>
    <w:rsid w:val="0B38F7CC"/>
    <w:rsid w:val="1CD98C83"/>
    <w:rsid w:val="32621363"/>
    <w:rsid w:val="336C0C31"/>
    <w:rsid w:val="7242E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F7CC"/>
  <w15:chartTrackingRefBased/>
  <w15:docId w15:val="{B09E3025-A1DC-490C-9A1B-EDB873F33E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2023-10-23T02:43:10.7862381Z</dcterms:created>
  <dcterms:modified xsi:type="dcterms:W3CDTF">2023-10-23T02:48:06.5547554Z</dcterms:modified>
  <dc:creator>KariAnn Harjo</dc:creator>
  <lastModifiedBy>KariAnn Harjo</lastModifiedBy>
</coreProperties>
</file>