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B2A4A"/>
          <w:sz w:val="40"/>
        </w:rPr>
        <w:t>Northwind Traders - Account Plan FY2027</w:t>
      </w:r>
    </w:p>
    <w:p>
      <w:r>
        <w:rPr>
          <w:color w:val="0F7C90"/>
          <w:sz w:val="23"/>
        </w:rPr>
        <w:t>Strategic account  |  Client since 2019  |  Plan owner: Priya Raman, Client Partner</w:t>
      </w:r>
    </w:p>
    <w:tbl>
      <w:tblPr>
        <w:tblStyle w:val="TableGrid"/>
        <w:tblW w:type="dxa" w:w="9647"/>
        <w:tblLook w:firstColumn="1" w:firstRow="1" w:lastColumn="0" w:lastRow="0" w:noHBand="0" w:noVBand="1" w:val="04A0"/>
        <w:tblLayout w:type="fixed"/>
        <w:tblCellMar>
          <w:top w:w="40" w:type="dxa"/>
          <w:left w:w="80" w:type="dxa"/>
          <w:bottom w:w="40" w:type="dxa"/>
          <w:right w:w="80" w:type="dxa"/>
        </w:tblCellMar>
      </w:tblPr>
      <w:tblGrid>
        <w:gridCol w:w="1791"/>
        <w:gridCol w:w="3032"/>
        <w:gridCol w:w="1791"/>
        <w:gridCol w:w="3032"/>
      </w:tblGrid>
      <w:tr>
        <w:tc>
          <w:tcPr>
            <w:tcW w:type="dxa" w:w="1792"/>
            <w:shd w:val="clear" w:color="auto" w:fill="F3F5F8"/>
          </w:tcPr>
          <w:p>
            <w:r/>
            <w:r>
              <w:rPr>
                <w:b/>
                <w:sz w:val="18"/>
              </w:rPr>
              <w:t>Account ID</w:t>
            </w:r>
          </w:p>
        </w:tc>
        <w:tc>
          <w:tcPr>
            <w:tcW w:type="dxa" w:w="3032"/>
          </w:tcPr>
          <w:p>
            <w:r/>
            <w:r>
              <w:rPr>
                <w:sz w:val="18"/>
              </w:rPr>
              <w:t>ACC-1001 (FocusNet)</w:t>
            </w:r>
          </w:p>
        </w:tc>
        <w:tc>
          <w:tcPr>
            <w:tcW w:type="dxa" w:w="1792"/>
            <w:shd w:val="clear" w:color="auto" w:fill="F3F5F8"/>
          </w:tcPr>
          <w:p>
            <w:r/>
            <w:r>
              <w:rPr>
                <w:b/>
                <w:sz w:val="18"/>
              </w:rPr>
              <w:t>Visionet revenue 2025</w:t>
            </w:r>
          </w:p>
        </w:tc>
        <w:tc>
          <w:tcPr>
            <w:tcW w:type="dxa" w:w="3032"/>
          </w:tcPr>
          <w:p>
            <w:r/>
            <w:r>
              <w:rPr>
                <w:sz w:val="18"/>
              </w:rPr>
              <w:t>$3.75M</w:t>
            </w:r>
          </w:p>
        </w:tc>
      </w:tr>
      <w:tr>
        <w:tc>
          <w:tcPr>
            <w:tcW w:type="dxa" w:w="1792"/>
            <w:shd w:val="clear" w:color="auto" w:fill="F3F5F8"/>
          </w:tcPr>
          <w:p>
            <w:r/>
            <w:r>
              <w:rPr>
                <w:b/>
                <w:sz w:val="18"/>
              </w:rPr>
              <w:t>Industry</w:t>
            </w:r>
          </w:p>
        </w:tc>
        <w:tc>
          <w:tcPr>
            <w:tcW w:type="dxa" w:w="3032"/>
          </w:tcPr>
          <w:p>
            <w:r/>
            <w:r>
              <w:rPr>
                <w:sz w:val="18"/>
              </w:rPr>
              <w:t>Retail - specialty retail, 640 stores</w:t>
            </w:r>
          </w:p>
        </w:tc>
        <w:tc>
          <w:tcPr>
            <w:tcW w:type="dxa" w:w="1792"/>
            <w:shd w:val="clear" w:color="auto" w:fill="F3F5F8"/>
          </w:tcPr>
          <w:p>
            <w:r/>
            <w:r>
              <w:rPr>
                <w:b/>
                <w:sz w:val="18"/>
              </w:rPr>
              <w:t>Visionet revenue 2026 YTD</w:t>
            </w:r>
          </w:p>
        </w:tc>
        <w:tc>
          <w:tcPr>
            <w:tcW w:type="dxa" w:w="3032"/>
          </w:tcPr>
          <w:p>
            <w:r/>
            <w:r>
              <w:rPr>
                <w:sz w:val="18"/>
              </w:rPr>
              <w:t>$3.02M (Jan-Sep)</w:t>
            </w:r>
          </w:p>
        </w:tc>
      </w:tr>
      <w:tr>
        <w:tc>
          <w:tcPr>
            <w:tcW w:type="dxa" w:w="1792"/>
            <w:shd w:val="clear" w:color="auto" w:fill="F3F5F8"/>
          </w:tcPr>
          <w:p>
            <w:r/>
            <w:r>
              <w:rPr>
                <w:b/>
                <w:sz w:val="18"/>
              </w:rPr>
              <w:t>HQ</w:t>
            </w:r>
          </w:p>
        </w:tc>
        <w:tc>
          <w:tcPr>
            <w:tcW w:type="dxa" w:w="3032"/>
          </w:tcPr>
          <w:p>
            <w:r/>
            <w:r>
              <w:rPr>
                <w:sz w:val="18"/>
              </w:rPr>
              <w:t>Chicago, IL</w:t>
            </w:r>
          </w:p>
        </w:tc>
        <w:tc>
          <w:tcPr>
            <w:tcW w:type="dxa" w:w="1792"/>
            <w:shd w:val="clear" w:color="auto" w:fill="F3F5F8"/>
          </w:tcPr>
          <w:p>
            <w:r/>
            <w:r>
              <w:rPr>
                <w:b/>
                <w:sz w:val="18"/>
              </w:rPr>
              <w:t>Account health</w:t>
            </w:r>
          </w:p>
        </w:tc>
        <w:tc>
          <w:tcPr>
            <w:tcW w:type="dxa" w:w="3032"/>
          </w:tcPr>
          <w:p>
            <w:r/>
            <w:r>
              <w:rPr>
                <w:sz w:val="18"/>
              </w:rPr>
              <w:t>RED - 34 / 100</w:t>
            </w:r>
          </w:p>
        </w:tc>
      </w:tr>
      <w:tr>
        <w:tc>
          <w:tcPr>
            <w:tcW w:type="dxa" w:w="1792"/>
            <w:shd w:val="clear" w:color="auto" w:fill="F3F5F8"/>
          </w:tcPr>
          <w:p>
            <w:r/>
            <w:r>
              <w:rPr>
                <w:b/>
                <w:sz w:val="18"/>
              </w:rPr>
              <w:t>Client revenue</w:t>
            </w:r>
          </w:p>
        </w:tc>
        <w:tc>
          <w:tcPr>
            <w:tcW w:type="dxa" w:w="3032"/>
          </w:tcPr>
          <w:p>
            <w:r/>
            <w:r>
              <w:rPr>
                <w:sz w:val="18"/>
              </w:rPr>
              <w:t>$6.2B (FY2025)</w:t>
            </w:r>
          </w:p>
        </w:tc>
        <w:tc>
          <w:tcPr>
            <w:tcW w:type="dxa" w:w="1792"/>
            <w:shd w:val="clear" w:color="auto" w:fill="F3F5F8"/>
          </w:tcPr>
          <w:p>
            <w:r/>
            <w:r>
              <w:rPr>
                <w:b/>
                <w:sz w:val="18"/>
              </w:rPr>
              <w:t>Plan version</w:t>
            </w:r>
          </w:p>
        </w:tc>
        <w:tc>
          <w:tcPr>
            <w:tcW w:type="dxa" w:w="3032"/>
          </w:tcPr>
          <w:p>
            <w:r/>
            <w:r>
              <w:rPr>
                <w:sz w:val="18"/>
              </w:rPr>
              <w:t>v3.2, revised 6 Oct 2026 after VP exit</w:t>
            </w:r>
          </w:p>
        </w:tc>
      </w:tr>
    </w:tbl>
    <w:p>
      <w:pPr>
        <w:spacing w:after="40"/>
      </w:pPr>
    </w:p>
    <w:tbl>
      <w:tblPr>
        <w:tblStyle w:val="TableGrid"/>
        <w:tblW w:type="auto" w:w="0"/>
        <w:tblLook w:firstColumn="1" w:firstRow="1" w:lastColumn="0" w:lastRow="0" w:noHBand="0" w:noVBand="1" w:val="04A0"/>
        <w:tblCellMar>
          <w:top w:w="100" w:type="dxa"/>
          <w:left w:w="140" w:type="dxa"/>
          <w:bottom w:w="100" w:type="dxa"/>
          <w:right w:w="140" w:type="dxa"/>
        </w:tblCellMar>
      </w:tblPr>
      <w:tblGrid>
        <w:gridCol w:w="9648"/>
      </w:tblGrid>
      <w:tr>
        <w:tc>
          <w:tcPr>
            <w:tcW w:type="dxa" w:w="9648"/>
            <w:shd w:val="clear" w:color="auto" w:fill="F8D7DA"/>
          </w:tcPr>
          <w:p>
            <w:r/>
            <w:r>
              <w:rPr>
                <w:b/>
                <w:color w:val="0F7C90"/>
              </w:rPr>
              <w:t xml:space="preserve">Account alert  </w:t>
            </w:r>
            <w:r>
              <w:rPr/>
              <w:t>The FY27 AMS renewal (CTR-7020, $1.45M ACV, $4.2M over 3 years) is due 1 February 2027 and is at risk. Project Atlas turned red in week 39, CSAT fell from 8.4 to 6.1, and our sponsor Daniel Okafor left Northwind on 28 September. Priority one is the Atlas recovery plan, due to Lena Fischer on Thursday 8 October.</w:t>
            </w:r>
          </w:p>
        </w:tc>
      </w:tr>
    </w:tbl>
    <w:p>
      <w:pPr>
        <w:spacing w:after="40"/>
      </w:pPr>
    </w:p>
    <w:p>
      <w:pPr>
        <w:pStyle w:val="Heading1"/>
      </w:pPr>
      <w:r>
        <w:t>1. Account overview</w:t>
      </w:r>
    </w:p>
    <w:p>
      <w:r>
        <w:rPr/>
        <w:t>Northwind Traders is a Chicago-based specialty retailer with 640 stores across 31 states and a loyalty programme of 11.2 million members. Its FY2026 strategy ("Store of the Future") funds POS modernisation, loyalty personalisation and the closure of 40 underperforming stores announced in August 2026.</w:t>
      </w:r>
    </w:p>
    <w:p>
      <w:pPr>
        <w:pStyle w:val="Heading2"/>
      </w:pPr>
      <w:r>
        <w:t>Visionet footprint</w:t>
      </w:r>
    </w:p>
    <w:tbl>
      <w:tblPr>
        <w:tblStyle w:val="TableGrid"/>
        <w:tblW w:type="dxa" w:w="9647"/>
        <w:jc w:val="center"/>
        <w:tblLook w:firstColumn="1" w:firstRow="1" w:lastColumn="0" w:lastRow="0" w:noHBand="0" w:noVBand="1" w:val="04A0"/>
        <w:tblLayout w:type="fixed"/>
        <w:tblCellMar>
          <w:top w:w="60" w:type="dxa"/>
          <w:left w:w="90" w:type="dxa"/>
          <w:bottom w:w="60" w:type="dxa"/>
          <w:right w:w="90" w:type="dxa"/>
        </w:tblCellMar>
      </w:tblPr>
      <w:tblGrid>
        <w:gridCol w:w="2387"/>
        <w:gridCol w:w="994"/>
        <w:gridCol w:w="3182"/>
        <w:gridCol w:w="895"/>
        <w:gridCol w:w="2188"/>
      </w:tblGrid>
      <w:tr>
        <w:trPr>
          <w:tblHeader w:val="true"/>
        </w:trPr>
        <w:tc>
          <w:tcPr>
            <w:tcW w:type="dxa" w:w="2387"/>
            <w:shd w:val="clear" w:color="auto" w:fill="1B2A4A"/>
          </w:tcPr>
          <w:p>
            <w:r/>
            <w:r>
              <w:rPr>
                <w:b/>
                <w:color w:val="FFFFFF"/>
                <w:sz w:val="18"/>
              </w:rPr>
              <w:t>Programme / project</w:t>
            </w:r>
          </w:p>
        </w:tc>
        <w:tc>
          <w:tcPr>
            <w:tcW w:type="dxa" w:w="995"/>
            <w:shd w:val="clear" w:color="auto" w:fill="1B2A4A"/>
          </w:tcPr>
          <w:p>
            <w:r/>
            <w:r>
              <w:rPr>
                <w:b/>
                <w:color w:val="FFFFFF"/>
                <w:sz w:val="18"/>
              </w:rPr>
              <w:t>ID</w:t>
            </w:r>
          </w:p>
        </w:tc>
        <w:tc>
          <w:tcPr>
            <w:tcW w:type="dxa" w:w="3183"/>
            <w:shd w:val="clear" w:color="auto" w:fill="1B2A4A"/>
          </w:tcPr>
          <w:p>
            <w:r/>
            <w:r>
              <w:rPr>
                <w:b/>
                <w:color w:val="FFFFFF"/>
                <w:sz w:val="18"/>
              </w:rPr>
              <w:t>Scope</w:t>
            </w:r>
          </w:p>
        </w:tc>
        <w:tc>
          <w:tcPr>
            <w:tcW w:type="dxa" w:w="895"/>
            <w:shd w:val="clear" w:color="auto" w:fill="1B2A4A"/>
          </w:tcPr>
          <w:p>
            <w:r/>
            <w:r>
              <w:rPr>
                <w:b/>
                <w:color w:val="FFFFFF"/>
                <w:sz w:val="18"/>
              </w:rPr>
              <w:t>Status</w:t>
            </w:r>
          </w:p>
        </w:tc>
        <w:tc>
          <w:tcPr>
            <w:tcW w:type="dxa" w:w="2188"/>
            <w:shd w:val="clear" w:color="auto" w:fill="1B2A4A"/>
          </w:tcPr>
          <w:p>
            <w:r/>
            <w:r>
              <w:rPr>
                <w:b/>
                <w:color w:val="FFFFFF"/>
                <w:sz w:val="18"/>
              </w:rPr>
              <w:t>Contract</w:t>
            </w:r>
          </w:p>
        </w:tc>
      </w:tr>
      <w:tr>
        <w:tc>
          <w:tcPr>
            <w:tcW w:type="dxa" w:w="2387"/>
          </w:tcPr>
          <w:p>
            <w:r/>
            <w:r>
              <w:rPr>
                <w:sz w:val="18"/>
              </w:rPr>
              <w:t>Northwind Store Modernisation</w:t>
            </w:r>
          </w:p>
        </w:tc>
        <w:tc>
          <w:tcPr>
            <w:tcW w:type="dxa" w:w="995"/>
          </w:tcPr>
          <w:p>
            <w:r/>
            <w:r>
              <w:rPr>
                <w:sz w:val="18"/>
              </w:rPr>
              <w:t>PRG-2001</w:t>
            </w:r>
          </w:p>
        </w:tc>
        <w:tc>
          <w:tcPr>
            <w:tcW w:type="dxa" w:w="3183"/>
          </w:tcPr>
          <w:p>
            <w:r/>
            <w:r>
              <w:rPr>
                <w:sz w:val="18"/>
              </w:rPr>
              <w:t>Programme umbrella</w:t>
            </w:r>
          </w:p>
        </w:tc>
        <w:tc>
          <w:tcPr>
            <w:tcW w:type="dxa" w:w="895"/>
            <w:shd w:val="clear" w:color="auto" w:fill="F8D7DA"/>
          </w:tcPr>
          <w:p>
            <w:r/>
            <w:r>
              <w:rPr>
                <w:sz w:val="18"/>
              </w:rPr>
              <w:t>Red</w:t>
            </w:r>
          </w:p>
        </w:tc>
        <w:tc>
          <w:tcPr>
            <w:tcW w:type="dxa" w:w="2188"/>
          </w:tcPr>
          <w:p>
            <w:r/>
            <w:r>
              <w:rPr>
                <w:sz w:val="18"/>
              </w:rPr>
              <w:t>Fixed price + AMS, $9.7M TCV</w:t>
            </w:r>
          </w:p>
        </w:tc>
      </w:tr>
      <w:tr>
        <w:tc>
          <w:tcPr>
            <w:tcW w:type="dxa" w:w="2387"/>
            <w:shd w:val="clear" w:color="auto" w:fill="F3F5F8"/>
          </w:tcPr>
          <w:p>
            <w:r/>
            <w:r>
              <w:rPr>
                <w:sz w:val="18"/>
              </w:rPr>
              <w:t>Project Atlas</w:t>
            </w:r>
          </w:p>
        </w:tc>
        <w:tc>
          <w:tcPr>
            <w:tcW w:type="dxa" w:w="995"/>
            <w:shd w:val="clear" w:color="auto" w:fill="F3F5F8"/>
          </w:tcPr>
          <w:p>
            <w:r/>
            <w:r>
              <w:rPr>
                <w:sz w:val="18"/>
              </w:rPr>
              <w:t>PRJ-3101</w:t>
            </w:r>
          </w:p>
        </w:tc>
        <w:tc>
          <w:tcPr>
            <w:tcW w:type="dxa" w:w="3183"/>
            <w:shd w:val="clear" w:color="auto" w:fill="F3F5F8"/>
          </w:tcPr>
          <w:p>
            <w:r/>
            <w:r>
              <w:rPr>
                <w:sz w:val="18"/>
              </w:rPr>
              <w:t>POS modernisation across 640 stores (waves 1-3)</w:t>
            </w:r>
          </w:p>
        </w:tc>
        <w:tc>
          <w:tcPr>
            <w:tcW w:type="dxa" w:w="895"/>
            <w:shd w:val="clear" w:color="auto" w:fill="F8D7DA"/>
          </w:tcPr>
          <w:p>
            <w:r/>
            <w:r>
              <w:rPr>
                <w:sz w:val="18"/>
              </w:rPr>
              <w:t>Red</w:t>
            </w:r>
          </w:p>
        </w:tc>
        <w:tc>
          <w:tcPr>
            <w:tcW w:type="dxa" w:w="2188"/>
            <w:shd w:val="clear" w:color="auto" w:fill="F3F5F8"/>
          </w:tcPr>
          <w:p>
            <w:r/>
            <w:r>
              <w:rPr>
                <w:sz w:val="18"/>
              </w:rPr>
              <w:t>Fixed price $3.6M + $1.2M change orders</w:t>
            </w:r>
          </w:p>
        </w:tc>
      </w:tr>
      <w:tr>
        <w:tc>
          <w:tcPr>
            <w:tcW w:type="dxa" w:w="2387"/>
          </w:tcPr>
          <w:p>
            <w:r/>
            <w:r>
              <w:rPr>
                <w:sz w:val="18"/>
              </w:rPr>
              <w:t>Managed AMS</w:t>
            </w:r>
          </w:p>
        </w:tc>
        <w:tc>
          <w:tcPr>
            <w:tcW w:type="dxa" w:w="995"/>
          </w:tcPr>
          <w:p>
            <w:r/>
            <w:r>
              <w:rPr>
                <w:sz w:val="18"/>
              </w:rPr>
              <w:t>PRJ-3102</w:t>
            </w:r>
          </w:p>
        </w:tc>
        <w:tc>
          <w:tcPr>
            <w:tcW w:type="dxa" w:w="3183"/>
          </w:tcPr>
          <w:p>
            <w:r/>
            <w:r>
              <w:rPr>
                <w:sz w:val="18"/>
              </w:rPr>
              <w:t>Store and merchandising applications, 24x7</w:t>
            </w:r>
          </w:p>
        </w:tc>
        <w:tc>
          <w:tcPr>
            <w:tcW w:type="dxa" w:w="895"/>
            <w:shd w:val="clear" w:color="auto" w:fill="D9F2E3"/>
          </w:tcPr>
          <w:p>
            <w:r/>
            <w:r>
              <w:rPr>
                <w:sz w:val="18"/>
              </w:rPr>
              <w:t>Green</w:t>
            </w:r>
          </w:p>
        </w:tc>
        <w:tc>
          <w:tcPr>
            <w:tcW w:type="dxa" w:w="2188"/>
          </w:tcPr>
          <w:p>
            <w:r/>
            <w:r>
              <w:rPr>
                <w:sz w:val="18"/>
              </w:rPr>
              <w:t>CTR-7020, $1.45M ACV</w:t>
            </w:r>
          </w:p>
        </w:tc>
      </w:tr>
      <w:tr>
        <w:tc>
          <w:tcPr>
            <w:tcW w:type="dxa" w:w="2387"/>
            <w:shd w:val="clear" w:color="auto" w:fill="F3F5F8"/>
          </w:tcPr>
          <w:p>
            <w:r/>
            <w:r>
              <w:rPr>
                <w:sz w:val="18"/>
              </w:rPr>
              <w:t>Store network refresh</w:t>
            </w:r>
          </w:p>
        </w:tc>
        <w:tc>
          <w:tcPr>
            <w:tcW w:type="dxa" w:w="995"/>
            <w:shd w:val="clear" w:color="auto" w:fill="F3F5F8"/>
          </w:tcPr>
          <w:p>
            <w:r/>
            <w:r>
              <w:rPr>
                <w:sz w:val="18"/>
              </w:rPr>
              <w:t>PRJ-3103</w:t>
            </w:r>
          </w:p>
        </w:tc>
        <w:tc>
          <w:tcPr>
            <w:tcW w:type="dxa" w:w="3183"/>
            <w:shd w:val="clear" w:color="auto" w:fill="F3F5F8"/>
          </w:tcPr>
          <w:p>
            <w:r/>
            <w:r>
              <w:rPr>
                <w:sz w:val="18"/>
              </w:rPr>
              <w:t>SD-WAN rollout</w:t>
            </w:r>
          </w:p>
        </w:tc>
        <w:tc>
          <w:tcPr>
            <w:tcW w:type="dxa" w:w="895"/>
            <w:shd w:val="clear" w:color="auto" w:fill="F3F5F8"/>
          </w:tcPr>
          <w:p>
            <w:r/>
            <w:r>
              <w:rPr>
                <w:sz w:val="18"/>
              </w:rPr>
              <w:t>Complete</w:t>
            </w:r>
          </w:p>
        </w:tc>
        <w:tc>
          <w:tcPr>
            <w:tcW w:type="dxa" w:w="2188"/>
            <w:shd w:val="clear" w:color="auto" w:fill="F3F5F8"/>
          </w:tcPr>
          <w:p>
            <w:r/>
            <w:r>
              <w:rPr>
                <w:sz w:val="18"/>
              </w:rPr>
              <w:t>Closed Jun 2026</w:t>
            </w:r>
          </w:p>
        </w:tc>
      </w:tr>
    </w:tbl>
    <w:p>
      <w:pPr>
        <w:spacing w:after="40"/>
      </w:pPr>
    </w:p>
    <w:p>
      <w:pPr>
        <w:pStyle w:val="Heading2"/>
      </w:pPr>
      <w:r>
        <w:t>Revenue by service line (USD)</w:t>
      </w:r>
    </w:p>
    <w:tbl>
      <w:tblPr>
        <w:tblStyle w:val="TableGrid"/>
        <w:tblW w:type="dxa" w:w="9647"/>
        <w:jc w:val="center"/>
        <w:tblLook w:firstColumn="1" w:firstRow="1" w:lastColumn="0" w:lastRow="0" w:noHBand="0" w:noVBand="1" w:val="04A0"/>
        <w:tblLayout w:type="fixed"/>
        <w:tblCellMar>
          <w:top w:w="60" w:type="dxa"/>
          <w:left w:w="90" w:type="dxa"/>
          <w:bottom w:w="60" w:type="dxa"/>
          <w:right w:w="90" w:type="dxa"/>
        </w:tblCellMar>
      </w:tblPr>
      <w:tblGrid>
        <w:gridCol w:w="4134"/>
        <w:gridCol w:w="2756"/>
        <w:gridCol w:w="2756"/>
      </w:tblGrid>
      <w:tr>
        <w:trPr>
          <w:tblHeader w:val="true"/>
        </w:trPr>
        <w:tc>
          <w:tcPr>
            <w:tcW w:type="dxa" w:w="4135"/>
            <w:shd w:val="clear" w:color="auto" w:fill="1B2A4A"/>
          </w:tcPr>
          <w:p>
            <w:r/>
            <w:r>
              <w:rPr>
                <w:b/>
                <w:color w:val="FFFFFF"/>
                <w:sz w:val="18"/>
              </w:rPr>
              <w:t>Service line</w:t>
            </w:r>
          </w:p>
        </w:tc>
        <w:tc>
          <w:tcPr>
            <w:tcW w:type="dxa" w:w="2757"/>
            <w:shd w:val="clear" w:color="auto" w:fill="1B2A4A"/>
          </w:tcPr>
          <w:p>
            <w:r/>
            <w:r>
              <w:rPr>
                <w:b/>
                <w:color w:val="FFFFFF"/>
                <w:sz w:val="18"/>
              </w:rPr>
              <w:t>2025 actual</w:t>
            </w:r>
          </w:p>
        </w:tc>
        <w:tc>
          <w:tcPr>
            <w:tcW w:type="dxa" w:w="2757"/>
            <w:shd w:val="clear" w:color="auto" w:fill="1B2A4A"/>
          </w:tcPr>
          <w:p>
            <w:r/>
            <w:r>
              <w:rPr>
                <w:b/>
                <w:color w:val="FFFFFF"/>
                <w:sz w:val="18"/>
              </w:rPr>
              <w:t>2026 YTD (Jan-Sep)</w:t>
            </w:r>
          </w:p>
        </w:tc>
      </w:tr>
      <w:tr>
        <w:tc>
          <w:tcPr>
            <w:tcW w:type="dxa" w:w="4135"/>
          </w:tcPr>
          <w:p>
            <w:r/>
            <w:r>
              <w:rPr>
                <w:sz w:val="18"/>
              </w:rPr>
              <w:t>Managed Services</w:t>
            </w:r>
          </w:p>
        </w:tc>
        <w:tc>
          <w:tcPr>
            <w:tcW w:type="dxa" w:w="2757"/>
          </w:tcPr>
          <w:p>
            <w:pPr>
              <w:jc w:val="right"/>
            </w:pPr>
            <w:r/>
            <w:r>
              <w:rPr>
                <w:sz w:val="18"/>
              </w:rPr>
              <w:t>$1.44M</w:t>
            </w:r>
          </w:p>
        </w:tc>
        <w:tc>
          <w:tcPr>
            <w:tcW w:type="dxa" w:w="2757"/>
          </w:tcPr>
          <w:p>
            <w:pPr>
              <w:jc w:val="right"/>
            </w:pPr>
            <w:r/>
            <w:r>
              <w:rPr>
                <w:sz w:val="18"/>
              </w:rPr>
              <w:t>$1.08M</w:t>
            </w:r>
          </w:p>
        </w:tc>
      </w:tr>
      <w:tr>
        <w:tc>
          <w:tcPr>
            <w:tcW w:type="dxa" w:w="4135"/>
            <w:shd w:val="clear" w:color="auto" w:fill="F3F5F8"/>
          </w:tcPr>
          <w:p>
            <w:r/>
            <w:r>
              <w:rPr>
                <w:sz w:val="18"/>
              </w:rPr>
              <w:t>Application Modernization</w:t>
            </w:r>
          </w:p>
        </w:tc>
        <w:tc>
          <w:tcPr>
            <w:tcW w:type="dxa" w:w="2757"/>
            <w:shd w:val="clear" w:color="auto" w:fill="F3F5F8"/>
          </w:tcPr>
          <w:p>
            <w:pPr>
              <w:jc w:val="right"/>
            </w:pPr>
            <w:r/>
            <w:r>
              <w:rPr>
                <w:sz w:val="18"/>
              </w:rPr>
              <w:t>$1.75M</w:t>
            </w:r>
          </w:p>
        </w:tc>
        <w:tc>
          <w:tcPr>
            <w:tcW w:type="dxa" w:w="2757"/>
            <w:shd w:val="clear" w:color="auto" w:fill="F3F5F8"/>
          </w:tcPr>
          <w:p>
            <w:pPr>
              <w:jc w:val="right"/>
            </w:pPr>
            <w:r/>
            <w:r>
              <w:rPr>
                <w:sz w:val="18"/>
              </w:rPr>
              <w:t>$1.73M</w:t>
            </w:r>
          </w:p>
        </w:tc>
      </w:tr>
      <w:tr>
        <w:tc>
          <w:tcPr>
            <w:tcW w:type="dxa" w:w="4135"/>
          </w:tcPr>
          <w:p>
            <w:r/>
            <w:r>
              <w:rPr>
                <w:sz w:val="18"/>
              </w:rPr>
              <w:t>Cloud &amp; Infrastructure</w:t>
            </w:r>
          </w:p>
        </w:tc>
        <w:tc>
          <w:tcPr>
            <w:tcW w:type="dxa" w:w="2757"/>
          </w:tcPr>
          <w:p>
            <w:pPr>
              <w:jc w:val="right"/>
            </w:pPr>
            <w:r/>
            <w:r>
              <w:rPr>
                <w:sz w:val="18"/>
              </w:rPr>
              <w:t>$548,072</w:t>
            </w:r>
          </w:p>
        </w:tc>
        <w:tc>
          <w:tcPr>
            <w:tcW w:type="dxa" w:w="2757"/>
          </w:tcPr>
          <w:p>
            <w:pPr>
              <w:jc w:val="right"/>
            </w:pPr>
            <w:r/>
            <w:r>
              <w:rPr>
                <w:sz w:val="18"/>
              </w:rPr>
              <w:t>$151,985</w:t>
            </w:r>
          </w:p>
        </w:tc>
      </w:tr>
      <w:tr>
        <w:tc>
          <w:tcPr>
            <w:tcW w:type="dxa" w:w="4135"/>
            <w:shd w:val="clear" w:color="auto" w:fill="F3F5F8"/>
          </w:tcPr>
          <w:p>
            <w:r/>
            <w:r>
              <w:rPr>
                <w:sz w:val="18"/>
              </w:rPr>
              <w:t>Data &amp; AI</w:t>
            </w:r>
          </w:p>
        </w:tc>
        <w:tc>
          <w:tcPr>
            <w:tcW w:type="dxa" w:w="2757"/>
            <w:shd w:val="clear" w:color="auto" w:fill="F3F5F8"/>
          </w:tcPr>
          <w:p>
            <w:pPr>
              <w:jc w:val="right"/>
            </w:pPr>
            <w:r/>
            <w:r>
              <w:rPr>
                <w:sz w:val="18"/>
              </w:rPr>
              <w:t>$0</w:t>
            </w:r>
          </w:p>
        </w:tc>
        <w:tc>
          <w:tcPr>
            <w:tcW w:type="dxa" w:w="2757"/>
            <w:shd w:val="clear" w:color="auto" w:fill="F3F5F8"/>
          </w:tcPr>
          <w:p>
            <w:pPr>
              <w:jc w:val="right"/>
            </w:pPr>
            <w:r/>
            <w:r>
              <w:rPr>
                <w:sz w:val="18"/>
              </w:rPr>
              <w:t>$62,524</w:t>
            </w:r>
          </w:p>
        </w:tc>
      </w:tr>
      <w:tr>
        <w:tc>
          <w:tcPr>
            <w:tcW w:type="dxa" w:w="4135"/>
          </w:tcPr>
          <w:p>
            <w:r/>
            <w:r>
              <w:rPr>
                <w:sz w:val="18"/>
              </w:rPr>
              <w:t>Total</w:t>
            </w:r>
          </w:p>
        </w:tc>
        <w:tc>
          <w:tcPr>
            <w:tcW w:type="dxa" w:w="2757"/>
          </w:tcPr>
          <w:p>
            <w:pPr>
              <w:jc w:val="right"/>
            </w:pPr>
            <w:r/>
            <w:r>
              <w:rPr>
                <w:sz w:val="18"/>
              </w:rPr>
              <w:t>$3.75M</w:t>
            </w:r>
          </w:p>
        </w:tc>
        <w:tc>
          <w:tcPr>
            <w:tcW w:type="dxa" w:w="2757"/>
          </w:tcPr>
          <w:p>
            <w:pPr>
              <w:jc w:val="right"/>
            </w:pPr>
            <w:r/>
            <w:r>
              <w:rPr>
                <w:sz w:val="18"/>
              </w:rPr>
              <w:t>$3.02M</w:t>
            </w:r>
          </w:p>
        </w:tc>
      </w:tr>
    </w:tbl>
    <w:p>
      <w:pPr>
        <w:spacing w:after="40"/>
      </w:pPr>
    </w:p>
    <w:p>
      <w:r>
        <w:rPr>
          <w:i/>
        </w:rPr>
        <w:t>Atlas margin has turned negative (-3.1% in September) because of rework on loyalty data migration. Finance (Daniel Cho) has flagged the programme for monthly margin review.</w:t>
      </w:r>
    </w:p>
    <w:p>
      <w:pPr>
        <w:pStyle w:val="Heading1"/>
      </w:pPr>
      <w:r>
        <w:t>2. Relationship map</w:t>
      </w:r>
    </w:p>
    <w:tbl>
      <w:tblPr>
        <w:tblStyle w:val="TableGrid"/>
        <w:tblW w:type="dxa" w:w="9647"/>
        <w:jc w:val="center"/>
        <w:tblLook w:firstColumn="1" w:firstRow="1" w:lastColumn="0" w:lastRow="0" w:noHBand="0" w:noVBand="1" w:val="04A0"/>
        <w:tblLayout w:type="fixed"/>
        <w:tblCellMar>
          <w:top w:w="60" w:type="dxa"/>
          <w:left w:w="90" w:type="dxa"/>
          <w:bottom w:w="60" w:type="dxa"/>
          <w:right w:w="90" w:type="dxa"/>
        </w:tblCellMar>
      </w:tblPr>
      <w:tblGrid>
        <w:gridCol w:w="1696"/>
        <w:gridCol w:w="2120"/>
        <w:gridCol w:w="1484"/>
        <w:gridCol w:w="1166"/>
        <w:gridCol w:w="1484"/>
        <w:gridCol w:w="1696"/>
      </w:tblGrid>
      <w:tr>
        <w:trPr>
          <w:tblHeader w:val="true"/>
        </w:trPr>
        <w:tc>
          <w:tcPr>
            <w:tcW w:type="dxa" w:w="1696"/>
            <w:shd w:val="clear" w:color="auto" w:fill="1B2A4A"/>
          </w:tcPr>
          <w:p>
            <w:r/>
            <w:r>
              <w:rPr>
                <w:b/>
                <w:color w:val="FFFFFF"/>
                <w:sz w:val="18"/>
              </w:rPr>
              <w:t>Stakeholder</w:t>
            </w:r>
          </w:p>
        </w:tc>
        <w:tc>
          <w:tcPr>
            <w:tcW w:type="dxa" w:w="2120"/>
            <w:shd w:val="clear" w:color="auto" w:fill="1B2A4A"/>
          </w:tcPr>
          <w:p>
            <w:r/>
            <w:r>
              <w:rPr>
                <w:b/>
                <w:color w:val="FFFFFF"/>
                <w:sz w:val="18"/>
              </w:rPr>
              <w:t>Title</w:t>
            </w:r>
          </w:p>
        </w:tc>
        <w:tc>
          <w:tcPr>
            <w:tcW w:type="dxa" w:w="1484"/>
            <w:shd w:val="clear" w:color="auto" w:fill="1B2A4A"/>
          </w:tcPr>
          <w:p>
            <w:r/>
            <w:r>
              <w:rPr>
                <w:b/>
                <w:color w:val="FFFFFF"/>
                <w:sz w:val="18"/>
              </w:rPr>
              <w:t>Role in decision</w:t>
            </w:r>
          </w:p>
        </w:tc>
        <w:tc>
          <w:tcPr>
            <w:tcW w:type="dxa" w:w="1166"/>
            <w:shd w:val="clear" w:color="auto" w:fill="1B2A4A"/>
          </w:tcPr>
          <w:p>
            <w:r/>
            <w:r>
              <w:rPr>
                <w:b/>
                <w:color w:val="FFFFFF"/>
                <w:sz w:val="18"/>
              </w:rPr>
              <w:t>Relationship</w:t>
            </w:r>
          </w:p>
        </w:tc>
        <w:tc>
          <w:tcPr>
            <w:tcW w:type="dxa" w:w="1484"/>
            <w:shd w:val="clear" w:color="auto" w:fill="1B2A4A"/>
          </w:tcPr>
          <w:p>
            <w:r/>
            <w:r>
              <w:rPr>
                <w:b/>
                <w:color w:val="FFFFFF"/>
                <w:sz w:val="18"/>
              </w:rPr>
              <w:t>Visionet owner</w:t>
            </w:r>
          </w:p>
        </w:tc>
        <w:tc>
          <w:tcPr>
            <w:tcW w:type="dxa" w:w="1696"/>
            <w:shd w:val="clear" w:color="auto" w:fill="1B2A4A"/>
          </w:tcPr>
          <w:p>
            <w:r/>
            <w:r>
              <w:rPr>
                <w:b/>
                <w:color w:val="FFFFFF"/>
                <w:sz w:val="18"/>
              </w:rPr>
              <w:t>Status</w:t>
            </w:r>
          </w:p>
        </w:tc>
      </w:tr>
      <w:tr>
        <w:tc>
          <w:tcPr>
            <w:tcW w:type="dxa" w:w="1696"/>
          </w:tcPr>
          <w:p>
            <w:r/>
            <w:r>
              <w:rPr>
                <w:sz w:val="18"/>
              </w:rPr>
              <w:t>Lena Fischer</w:t>
            </w:r>
          </w:p>
        </w:tc>
        <w:tc>
          <w:tcPr>
            <w:tcW w:type="dxa" w:w="2120"/>
          </w:tcPr>
          <w:p>
            <w:r/>
            <w:r>
              <w:rPr>
                <w:sz w:val="18"/>
              </w:rPr>
              <w:t>Chief Information Officer</w:t>
            </w:r>
          </w:p>
        </w:tc>
        <w:tc>
          <w:tcPr>
            <w:tcW w:type="dxa" w:w="1484"/>
          </w:tcPr>
          <w:p>
            <w:r/>
            <w:r>
              <w:rPr>
                <w:sz w:val="18"/>
              </w:rPr>
              <w:t>Decision maker</w:t>
            </w:r>
          </w:p>
        </w:tc>
        <w:tc>
          <w:tcPr>
            <w:tcW w:type="dxa" w:w="1166"/>
          </w:tcPr>
          <w:p>
            <w:r/>
            <w:r>
              <w:rPr>
                <w:sz w:val="18"/>
              </w:rPr>
              <w:t>Warm</w:t>
            </w:r>
          </w:p>
        </w:tc>
        <w:tc>
          <w:tcPr>
            <w:tcW w:type="dxa" w:w="1484"/>
          </w:tcPr>
          <w:p>
            <w:r/>
            <w:r>
              <w:rPr>
                <w:sz w:val="18"/>
              </w:rPr>
              <w:t>Priya Raman</w:t>
            </w:r>
          </w:p>
        </w:tc>
        <w:tc>
          <w:tcPr>
            <w:tcW w:type="dxa" w:w="1696"/>
          </w:tcPr>
          <w:p>
            <w:r/>
            <w:r>
              <w:rPr>
                <w:sz w:val="18"/>
              </w:rPr>
              <w:t>Active</w:t>
            </w:r>
          </w:p>
        </w:tc>
      </w:tr>
      <w:tr>
        <w:tc>
          <w:tcPr>
            <w:tcW w:type="dxa" w:w="1696"/>
            <w:shd w:val="clear" w:color="auto" w:fill="F3F5F8"/>
          </w:tcPr>
          <w:p>
            <w:r/>
            <w:r>
              <w:rPr>
                <w:sz w:val="18"/>
              </w:rPr>
              <w:t>Daniel Okafor</w:t>
            </w:r>
          </w:p>
        </w:tc>
        <w:tc>
          <w:tcPr>
            <w:tcW w:type="dxa" w:w="2120"/>
            <w:shd w:val="clear" w:color="auto" w:fill="F3F5F8"/>
          </w:tcPr>
          <w:p>
            <w:r/>
            <w:r>
              <w:rPr>
                <w:sz w:val="18"/>
              </w:rPr>
              <w:t>VP Technology</w:t>
            </w:r>
          </w:p>
        </w:tc>
        <w:tc>
          <w:tcPr>
            <w:tcW w:type="dxa" w:w="1484"/>
            <w:shd w:val="clear" w:color="auto" w:fill="F3F5F8"/>
          </w:tcPr>
          <w:p>
            <w:r/>
            <w:r>
              <w:rPr>
                <w:sz w:val="18"/>
              </w:rPr>
              <w:t>Champion</w:t>
            </w:r>
          </w:p>
        </w:tc>
        <w:tc>
          <w:tcPr>
            <w:tcW w:type="dxa" w:w="1166"/>
            <w:shd w:val="clear" w:color="auto" w:fill="F3F5F8"/>
          </w:tcPr>
          <w:p>
            <w:r/>
            <w:r>
              <w:rPr>
                <w:sz w:val="18"/>
              </w:rPr>
              <w:t>Strong</w:t>
            </w:r>
          </w:p>
        </w:tc>
        <w:tc>
          <w:tcPr>
            <w:tcW w:type="dxa" w:w="1484"/>
            <w:shd w:val="clear" w:color="auto" w:fill="F3F5F8"/>
          </w:tcPr>
          <w:p>
            <w:r/>
            <w:r>
              <w:rPr>
                <w:sz w:val="18"/>
              </w:rPr>
              <w:t>Priya Raman</w:t>
            </w:r>
          </w:p>
        </w:tc>
        <w:tc>
          <w:tcPr>
            <w:tcW w:type="dxa" w:w="1696"/>
            <w:shd w:val="clear" w:color="auto" w:fill="F3F5F8"/>
          </w:tcPr>
          <w:p>
            <w:r/>
            <w:r>
              <w:rPr>
                <w:sz w:val="18"/>
              </w:rPr>
              <w:t>Exited 2026-09-28</w:t>
            </w:r>
          </w:p>
        </w:tc>
      </w:tr>
      <w:tr>
        <w:tc>
          <w:tcPr>
            <w:tcW w:type="dxa" w:w="1696"/>
          </w:tcPr>
          <w:p>
            <w:r/>
            <w:r>
              <w:rPr>
                <w:sz w:val="18"/>
              </w:rPr>
              <w:t>Sofia Lindqvist</w:t>
            </w:r>
          </w:p>
        </w:tc>
        <w:tc>
          <w:tcPr>
            <w:tcW w:type="dxa" w:w="2120"/>
          </w:tcPr>
          <w:p>
            <w:r/>
            <w:r>
              <w:rPr>
                <w:sz w:val="18"/>
              </w:rPr>
              <w:t>VP Technology</w:t>
            </w:r>
          </w:p>
        </w:tc>
        <w:tc>
          <w:tcPr>
            <w:tcW w:type="dxa" w:w="1484"/>
          </w:tcPr>
          <w:p>
            <w:r/>
            <w:r>
              <w:rPr>
                <w:sz w:val="18"/>
              </w:rPr>
              <w:t>Decision maker</w:t>
            </w:r>
          </w:p>
        </w:tc>
        <w:tc>
          <w:tcPr>
            <w:tcW w:type="dxa" w:w="1166"/>
          </w:tcPr>
          <w:p>
            <w:r/>
            <w:r>
              <w:rPr>
                <w:sz w:val="18"/>
              </w:rPr>
              <w:t>None</w:t>
            </w:r>
          </w:p>
        </w:tc>
        <w:tc>
          <w:tcPr>
            <w:tcW w:type="dxa" w:w="1484"/>
          </w:tcPr>
          <w:p>
            <w:r/>
            <w:r>
              <w:rPr>
                <w:sz w:val="18"/>
              </w:rPr>
              <w:t>Priya Raman</w:t>
            </w:r>
          </w:p>
        </w:tc>
        <w:tc>
          <w:tcPr>
            <w:tcW w:type="dxa" w:w="1696"/>
          </w:tcPr>
          <w:p>
            <w:r/>
            <w:r>
              <w:rPr>
                <w:sz w:val="18"/>
              </w:rPr>
              <w:t>Appointed 2026-10-01</w:t>
            </w:r>
          </w:p>
        </w:tc>
      </w:tr>
      <w:tr>
        <w:tc>
          <w:tcPr>
            <w:tcW w:type="dxa" w:w="1696"/>
            <w:shd w:val="clear" w:color="auto" w:fill="F3F5F8"/>
          </w:tcPr>
          <w:p>
            <w:r/>
            <w:r>
              <w:rPr>
                <w:sz w:val="18"/>
              </w:rPr>
              <w:t>Mark Ellison</w:t>
            </w:r>
          </w:p>
        </w:tc>
        <w:tc>
          <w:tcPr>
            <w:tcW w:type="dxa" w:w="2120"/>
            <w:shd w:val="clear" w:color="auto" w:fill="F3F5F8"/>
          </w:tcPr>
          <w:p>
            <w:r/>
            <w:r>
              <w:rPr>
                <w:sz w:val="18"/>
              </w:rPr>
              <w:t>Director, Store Systems</w:t>
            </w:r>
          </w:p>
        </w:tc>
        <w:tc>
          <w:tcPr>
            <w:tcW w:type="dxa" w:w="1484"/>
            <w:shd w:val="clear" w:color="auto" w:fill="F3F5F8"/>
          </w:tcPr>
          <w:p>
            <w:r/>
            <w:r>
              <w:rPr>
                <w:sz w:val="18"/>
              </w:rPr>
              <w:t>Influencer</w:t>
            </w:r>
          </w:p>
        </w:tc>
        <w:tc>
          <w:tcPr>
            <w:tcW w:type="dxa" w:w="1166"/>
            <w:shd w:val="clear" w:color="auto" w:fill="F3F5F8"/>
          </w:tcPr>
          <w:p>
            <w:r/>
            <w:r>
              <w:rPr>
                <w:sz w:val="18"/>
              </w:rPr>
              <w:t>Strong</w:t>
            </w:r>
          </w:p>
        </w:tc>
        <w:tc>
          <w:tcPr>
            <w:tcW w:type="dxa" w:w="1484"/>
            <w:shd w:val="clear" w:color="auto" w:fill="F3F5F8"/>
          </w:tcPr>
          <w:p>
            <w:r/>
            <w:r>
              <w:rPr>
                <w:sz w:val="18"/>
              </w:rPr>
              <w:t>Kavya Iyer</w:t>
            </w:r>
          </w:p>
        </w:tc>
        <w:tc>
          <w:tcPr>
            <w:tcW w:type="dxa" w:w="1696"/>
            <w:shd w:val="clear" w:color="auto" w:fill="F3F5F8"/>
          </w:tcPr>
          <w:p>
            <w:r/>
            <w:r>
              <w:rPr>
                <w:sz w:val="18"/>
              </w:rPr>
              <w:t>Active</w:t>
            </w:r>
          </w:p>
        </w:tc>
      </w:tr>
      <w:tr>
        <w:tc>
          <w:tcPr>
            <w:tcW w:type="dxa" w:w="1696"/>
          </w:tcPr>
          <w:p>
            <w:r/>
            <w:r>
              <w:rPr>
                <w:sz w:val="18"/>
              </w:rPr>
              <w:t>Hannah Brooks</w:t>
            </w:r>
          </w:p>
        </w:tc>
        <w:tc>
          <w:tcPr>
            <w:tcW w:type="dxa" w:w="2120"/>
          </w:tcPr>
          <w:p>
            <w:r/>
            <w:r>
              <w:rPr>
                <w:sz w:val="18"/>
              </w:rPr>
              <w:t>Senior Manager, IT Procurement</w:t>
            </w:r>
          </w:p>
        </w:tc>
        <w:tc>
          <w:tcPr>
            <w:tcW w:type="dxa" w:w="1484"/>
          </w:tcPr>
          <w:p>
            <w:r/>
            <w:r>
              <w:rPr>
                <w:sz w:val="18"/>
              </w:rPr>
              <w:t>Gatekeeper</w:t>
            </w:r>
          </w:p>
        </w:tc>
        <w:tc>
          <w:tcPr>
            <w:tcW w:type="dxa" w:w="1166"/>
          </w:tcPr>
          <w:p>
            <w:r/>
            <w:r>
              <w:rPr>
                <w:sz w:val="18"/>
              </w:rPr>
              <w:t>Neutral</w:t>
            </w:r>
          </w:p>
        </w:tc>
        <w:tc>
          <w:tcPr>
            <w:tcW w:type="dxa" w:w="1484"/>
          </w:tcPr>
          <w:p>
            <w:r/>
            <w:r>
              <w:rPr>
                <w:sz w:val="18"/>
              </w:rPr>
              <w:t>Priya Raman</w:t>
            </w:r>
          </w:p>
        </w:tc>
        <w:tc>
          <w:tcPr>
            <w:tcW w:type="dxa" w:w="1696"/>
          </w:tcPr>
          <w:p>
            <w:r/>
            <w:r>
              <w:rPr>
                <w:sz w:val="18"/>
              </w:rPr>
              <w:t>Active</w:t>
            </w:r>
          </w:p>
        </w:tc>
      </w:tr>
      <w:tr>
        <w:tc>
          <w:tcPr>
            <w:tcW w:type="dxa" w:w="1696"/>
            <w:shd w:val="clear" w:color="auto" w:fill="F3F5F8"/>
          </w:tcPr>
          <w:p>
            <w:r/>
            <w:r>
              <w:rPr>
                <w:sz w:val="18"/>
              </w:rPr>
              <w:t>Robert Lang</w:t>
            </w:r>
          </w:p>
        </w:tc>
        <w:tc>
          <w:tcPr>
            <w:tcW w:type="dxa" w:w="2120"/>
            <w:shd w:val="clear" w:color="auto" w:fill="F3F5F8"/>
          </w:tcPr>
          <w:p>
            <w:r/>
            <w:r>
              <w:rPr>
                <w:sz w:val="18"/>
              </w:rPr>
              <w:t>Chief Financial Officer</w:t>
            </w:r>
          </w:p>
        </w:tc>
        <w:tc>
          <w:tcPr>
            <w:tcW w:type="dxa" w:w="1484"/>
            <w:shd w:val="clear" w:color="auto" w:fill="F3F5F8"/>
          </w:tcPr>
          <w:p>
            <w:r/>
            <w:r>
              <w:rPr>
                <w:sz w:val="18"/>
              </w:rPr>
              <w:t>Economic buyer</w:t>
            </w:r>
          </w:p>
        </w:tc>
        <w:tc>
          <w:tcPr>
            <w:tcW w:type="dxa" w:w="1166"/>
            <w:shd w:val="clear" w:color="auto" w:fill="F3F5F8"/>
          </w:tcPr>
          <w:p>
            <w:r/>
            <w:r>
              <w:rPr>
                <w:sz w:val="18"/>
              </w:rPr>
              <w:t>Cold</w:t>
            </w:r>
          </w:p>
        </w:tc>
        <w:tc>
          <w:tcPr>
            <w:tcW w:type="dxa" w:w="1484"/>
            <w:shd w:val="clear" w:color="auto" w:fill="F3F5F8"/>
          </w:tcPr>
          <w:p>
            <w:r/>
            <w:r>
              <w:rPr>
                <w:sz w:val="18"/>
              </w:rPr>
              <w:t>Laura Chen</w:t>
            </w:r>
          </w:p>
        </w:tc>
        <w:tc>
          <w:tcPr>
            <w:tcW w:type="dxa" w:w="1696"/>
            <w:shd w:val="clear" w:color="auto" w:fill="F3F5F8"/>
          </w:tcPr>
          <w:p>
            <w:r/>
            <w:r>
              <w:rPr>
                <w:sz w:val="18"/>
              </w:rPr>
              <w:t>Active</w:t>
            </w:r>
          </w:p>
        </w:tc>
      </w:tr>
      <w:tr>
        <w:tc>
          <w:tcPr>
            <w:tcW w:type="dxa" w:w="1696"/>
          </w:tcPr>
          <w:p>
            <w:r/>
            <w:r>
              <w:rPr>
                <w:sz w:val="18"/>
              </w:rPr>
              <w:t>Tanya Brooks</w:t>
            </w:r>
          </w:p>
        </w:tc>
        <w:tc>
          <w:tcPr>
            <w:tcW w:type="dxa" w:w="2120"/>
          </w:tcPr>
          <w:p>
            <w:r/>
            <w:r>
              <w:rPr>
                <w:sz w:val="18"/>
              </w:rPr>
              <w:t>Director, Loyalty &amp; CRM</w:t>
            </w:r>
          </w:p>
        </w:tc>
        <w:tc>
          <w:tcPr>
            <w:tcW w:type="dxa" w:w="1484"/>
          </w:tcPr>
          <w:p>
            <w:r/>
            <w:r>
              <w:rPr>
                <w:sz w:val="18"/>
              </w:rPr>
              <w:t>Evaluator</w:t>
            </w:r>
          </w:p>
        </w:tc>
        <w:tc>
          <w:tcPr>
            <w:tcW w:type="dxa" w:w="1166"/>
          </w:tcPr>
          <w:p>
            <w:r/>
            <w:r>
              <w:rPr>
                <w:sz w:val="18"/>
              </w:rPr>
              <w:t>Warm</w:t>
            </w:r>
          </w:p>
        </w:tc>
        <w:tc>
          <w:tcPr>
            <w:tcW w:type="dxa" w:w="1484"/>
          </w:tcPr>
          <w:p>
            <w:r/>
            <w:r>
              <w:rPr>
                <w:sz w:val="18"/>
              </w:rPr>
              <w:t>Priya Raman</w:t>
            </w:r>
          </w:p>
        </w:tc>
        <w:tc>
          <w:tcPr>
            <w:tcW w:type="dxa" w:w="1696"/>
          </w:tcPr>
          <w:p>
            <w:r/>
            <w:r>
              <w:rPr>
                <w:sz w:val="18"/>
              </w:rPr>
              <w:t>Active</w:t>
            </w:r>
          </w:p>
        </w:tc>
      </w:tr>
    </w:tbl>
    <w:p>
      <w:pPr>
        <w:spacing w:after="40"/>
      </w:pPr>
    </w:p>
    <w:p>
      <w:pPr>
        <w:pStyle w:val="ListBullet"/>
        <w:spacing w:after="40"/>
      </w:pPr>
      <w:r>
        <w:rPr>
          <w:b/>
        </w:rPr>
        <w:t>Sponsor gap:</w:t>
      </w:r>
      <w:r>
        <w:rPr/>
        <w:t xml:space="preserve"> Daniel Okafor (champion, sponsored the 2024 renewal) exited on 28 Sep 2026.</w:t>
      </w:r>
    </w:p>
    <w:p>
      <w:pPr>
        <w:pStyle w:val="ListBullet"/>
        <w:spacing w:after="40"/>
      </w:pPr>
      <w:r>
        <w:rPr>
          <w:b/>
        </w:rPr>
        <w:t>New decision maker:</w:t>
      </w:r>
      <w:r>
        <w:rPr/>
        <w:t xml:space="preserve"> Sofia Lindqvist started as VP Technology on 1 Oct. She ran a POS replatform with a competitor at her previous employer. No Visionet relationship yet.</w:t>
      </w:r>
    </w:p>
    <w:p>
      <w:pPr>
        <w:pStyle w:val="ListBullet"/>
        <w:spacing w:after="40"/>
      </w:pPr>
      <w:r>
        <w:rPr>
          <w:b/>
        </w:rPr>
        <w:t>Economic buyer:</w:t>
      </w:r>
      <w:r>
        <w:rPr/>
        <w:t xml:space="preserve"> CFO Robert Lang froze discretionary IT spend for Q4 2026. Laura Chen (CRO) to request a meeting after the recovery plan lands.</w:t>
      </w:r>
    </w:p>
    <w:p>
      <w:pPr>
        <w:pStyle w:val="Heading1"/>
      </w:pPr>
      <w:r>
        <w:t>3. Pipeline</w:t>
      </w:r>
    </w:p>
    <w:tbl>
      <w:tblPr>
        <w:tblStyle w:val="TableGrid"/>
        <w:tblW w:type="dxa" w:w="9647"/>
        <w:jc w:val="center"/>
        <w:tblLook w:firstColumn="1" w:firstRow="1" w:lastColumn="0" w:lastRow="0" w:noHBand="0" w:noVBand="1" w:val="04A0"/>
        <w:tblLayout w:type="fixed"/>
        <w:tblCellMar>
          <w:top w:w="60" w:type="dxa"/>
          <w:left w:w="90" w:type="dxa"/>
          <w:bottom w:w="60" w:type="dxa"/>
          <w:right w:w="90" w:type="dxa"/>
        </w:tblCellMar>
      </w:tblPr>
      <w:tblGrid>
        <w:gridCol w:w="964"/>
        <w:gridCol w:w="1833"/>
        <w:gridCol w:w="1254"/>
        <w:gridCol w:w="771"/>
        <w:gridCol w:w="964"/>
        <w:gridCol w:w="578"/>
        <w:gridCol w:w="868"/>
        <w:gridCol w:w="2412"/>
      </w:tblGrid>
      <w:tr>
        <w:trPr>
          <w:tblHeader w:val="true"/>
        </w:trPr>
        <w:tc>
          <w:tcPr>
            <w:tcW w:type="dxa" w:w="965"/>
            <w:shd w:val="clear" w:color="auto" w:fill="1B2A4A"/>
          </w:tcPr>
          <w:p>
            <w:r/>
            <w:r>
              <w:rPr>
                <w:b/>
                <w:color w:val="FFFFFF"/>
                <w:sz w:val="16"/>
              </w:rPr>
              <w:t>Opp ID</w:t>
            </w:r>
          </w:p>
        </w:tc>
        <w:tc>
          <w:tcPr>
            <w:tcW w:type="dxa" w:w="1833"/>
            <w:shd w:val="clear" w:color="auto" w:fill="1B2A4A"/>
          </w:tcPr>
          <w:p>
            <w:r/>
            <w:r>
              <w:rPr>
                <w:b/>
                <w:color w:val="FFFFFF"/>
                <w:sz w:val="16"/>
              </w:rPr>
              <w:t>Opportunity</w:t>
            </w:r>
          </w:p>
        </w:tc>
        <w:tc>
          <w:tcPr>
            <w:tcW w:type="dxa" w:w="1254"/>
            <w:shd w:val="clear" w:color="auto" w:fill="1B2A4A"/>
          </w:tcPr>
          <w:p>
            <w:r/>
            <w:r>
              <w:rPr>
                <w:b/>
                <w:color w:val="FFFFFF"/>
                <w:sz w:val="16"/>
              </w:rPr>
              <w:t>Service line</w:t>
            </w:r>
          </w:p>
        </w:tc>
        <w:tc>
          <w:tcPr>
            <w:tcW w:type="dxa" w:w="772"/>
            <w:shd w:val="clear" w:color="auto" w:fill="1B2A4A"/>
          </w:tcPr>
          <w:p>
            <w:r/>
            <w:r>
              <w:rPr>
                <w:b/>
                <w:color w:val="FFFFFF"/>
                <w:sz w:val="16"/>
              </w:rPr>
              <w:t>TCV</w:t>
            </w:r>
          </w:p>
        </w:tc>
        <w:tc>
          <w:tcPr>
            <w:tcW w:type="dxa" w:w="965"/>
            <w:shd w:val="clear" w:color="auto" w:fill="1B2A4A"/>
          </w:tcPr>
          <w:p>
            <w:r/>
            <w:r>
              <w:rPr>
                <w:b/>
                <w:color w:val="FFFFFF"/>
                <w:sz w:val="16"/>
              </w:rPr>
              <w:t>Stage</w:t>
            </w:r>
          </w:p>
        </w:tc>
        <w:tc>
          <w:tcPr>
            <w:tcW w:type="dxa" w:w="579"/>
            <w:shd w:val="clear" w:color="auto" w:fill="1B2A4A"/>
          </w:tcPr>
          <w:p>
            <w:r/>
            <w:r>
              <w:rPr>
                <w:b/>
                <w:color w:val="FFFFFF"/>
                <w:sz w:val="16"/>
              </w:rPr>
              <w:t>Prob.</w:t>
            </w:r>
          </w:p>
        </w:tc>
        <w:tc>
          <w:tcPr>
            <w:tcW w:type="dxa" w:w="868"/>
            <w:shd w:val="clear" w:color="auto" w:fill="1B2A4A"/>
          </w:tcPr>
          <w:p>
            <w:r/>
            <w:r>
              <w:rPr>
                <w:b/>
                <w:color w:val="FFFFFF"/>
                <w:sz w:val="16"/>
              </w:rPr>
              <w:t>Close</w:t>
            </w:r>
          </w:p>
        </w:tc>
        <w:tc>
          <w:tcPr>
            <w:tcW w:type="dxa" w:w="2412"/>
            <w:shd w:val="clear" w:color="auto" w:fill="1B2A4A"/>
          </w:tcPr>
          <w:p>
            <w:r/>
            <w:r>
              <w:rPr>
                <w:b/>
                <w:color w:val="FFFFFF"/>
                <w:sz w:val="16"/>
              </w:rPr>
              <w:t>Notes</w:t>
            </w:r>
          </w:p>
        </w:tc>
      </w:tr>
      <w:tr>
        <w:tc>
          <w:tcPr>
            <w:tcW w:type="dxa" w:w="965"/>
          </w:tcPr>
          <w:p>
            <w:r/>
            <w:r>
              <w:rPr>
                <w:sz w:val="16"/>
              </w:rPr>
              <w:t>OPP-24101</w:t>
            </w:r>
          </w:p>
        </w:tc>
        <w:tc>
          <w:tcPr>
            <w:tcW w:type="dxa" w:w="1833"/>
          </w:tcPr>
          <w:p>
            <w:r/>
            <w:r>
              <w:rPr>
                <w:sz w:val="16"/>
              </w:rPr>
              <w:t>FY27 Managed AMS Renewal</w:t>
            </w:r>
          </w:p>
        </w:tc>
        <w:tc>
          <w:tcPr>
            <w:tcW w:type="dxa" w:w="1254"/>
          </w:tcPr>
          <w:p>
            <w:r/>
            <w:r>
              <w:rPr>
                <w:sz w:val="16"/>
              </w:rPr>
              <w:t>Managed Services</w:t>
            </w:r>
          </w:p>
        </w:tc>
        <w:tc>
          <w:tcPr>
            <w:tcW w:type="dxa" w:w="772"/>
          </w:tcPr>
          <w:p>
            <w:r/>
            <w:r>
              <w:rPr>
                <w:sz w:val="16"/>
              </w:rPr>
              <w:t>$4.20M</w:t>
            </w:r>
          </w:p>
        </w:tc>
        <w:tc>
          <w:tcPr>
            <w:tcW w:type="dxa" w:w="965"/>
          </w:tcPr>
          <w:p>
            <w:r/>
            <w:r>
              <w:rPr>
                <w:sz w:val="16"/>
              </w:rPr>
              <w:t>2 - Discover</w:t>
            </w:r>
          </w:p>
        </w:tc>
        <w:tc>
          <w:tcPr>
            <w:tcW w:type="dxa" w:w="579"/>
          </w:tcPr>
          <w:p>
            <w:r/>
            <w:r>
              <w:rPr>
                <w:sz w:val="16"/>
              </w:rPr>
              <w:t>45%</w:t>
            </w:r>
          </w:p>
        </w:tc>
        <w:tc>
          <w:tcPr>
            <w:tcW w:type="dxa" w:w="868"/>
          </w:tcPr>
          <w:p>
            <w:r/>
            <w:r>
              <w:rPr>
                <w:sz w:val="16"/>
              </w:rPr>
              <w:t>15 Jan 2027</w:t>
            </w:r>
          </w:p>
        </w:tc>
        <w:tc>
          <w:tcPr>
            <w:tcW w:type="dxa" w:w="2412"/>
          </w:tcPr>
          <w:p>
            <w:r/>
            <w:r>
              <w:rPr>
                <w:sz w:val="16"/>
              </w:rPr>
              <w:t>Renewal date 1 Feb 2027. At risk: Atlas red, CSAT 6.1, sponsor Daniel Okafor exited 28 Sep</w:t>
            </w:r>
          </w:p>
        </w:tc>
      </w:tr>
      <w:tr>
        <w:tc>
          <w:tcPr>
            <w:tcW w:type="dxa" w:w="965"/>
            <w:shd w:val="clear" w:color="auto" w:fill="F3F5F8"/>
          </w:tcPr>
          <w:p>
            <w:r/>
            <w:r>
              <w:rPr>
                <w:sz w:val="16"/>
              </w:rPr>
              <w:t>OPP-24102</w:t>
            </w:r>
          </w:p>
        </w:tc>
        <w:tc>
          <w:tcPr>
            <w:tcW w:type="dxa" w:w="1833"/>
            <w:shd w:val="clear" w:color="auto" w:fill="F3F5F8"/>
          </w:tcPr>
          <w:p>
            <w:r/>
            <w:r>
              <w:rPr>
                <w:sz w:val="16"/>
              </w:rPr>
              <w:t>Loyalty Analytics Platform</w:t>
            </w:r>
          </w:p>
        </w:tc>
        <w:tc>
          <w:tcPr>
            <w:tcW w:type="dxa" w:w="1254"/>
            <w:shd w:val="clear" w:color="auto" w:fill="F3F5F8"/>
          </w:tcPr>
          <w:p>
            <w:r/>
            <w:r>
              <w:rPr>
                <w:sz w:val="16"/>
              </w:rPr>
              <w:t>Data &amp; AI</w:t>
            </w:r>
          </w:p>
        </w:tc>
        <w:tc>
          <w:tcPr>
            <w:tcW w:type="dxa" w:w="772"/>
            <w:shd w:val="clear" w:color="auto" w:fill="F3F5F8"/>
          </w:tcPr>
          <w:p>
            <w:r/>
            <w:r>
              <w:rPr>
                <w:sz w:val="16"/>
              </w:rPr>
              <w:t>$640,000</w:t>
            </w:r>
          </w:p>
        </w:tc>
        <w:tc>
          <w:tcPr>
            <w:tcW w:type="dxa" w:w="965"/>
            <w:shd w:val="clear" w:color="auto" w:fill="F3F5F8"/>
          </w:tcPr>
          <w:p>
            <w:r/>
            <w:r>
              <w:rPr>
                <w:sz w:val="16"/>
              </w:rPr>
              <w:t>3 - Solution</w:t>
            </w:r>
          </w:p>
        </w:tc>
        <w:tc>
          <w:tcPr>
            <w:tcW w:type="dxa" w:w="579"/>
            <w:shd w:val="clear" w:color="auto" w:fill="F3F5F8"/>
          </w:tcPr>
          <w:p>
            <w:r/>
            <w:r>
              <w:rPr>
                <w:sz w:val="16"/>
              </w:rPr>
              <w:t>30%</w:t>
            </w:r>
          </w:p>
        </w:tc>
        <w:tc>
          <w:tcPr>
            <w:tcW w:type="dxa" w:w="868"/>
            <w:shd w:val="clear" w:color="auto" w:fill="F3F5F8"/>
          </w:tcPr>
          <w:p>
            <w:r/>
            <w:r>
              <w:rPr>
                <w:sz w:val="16"/>
              </w:rPr>
              <w:t>30 Nov 2026</w:t>
            </w:r>
          </w:p>
        </w:tc>
        <w:tc>
          <w:tcPr>
            <w:tcW w:type="dxa" w:w="2412"/>
            <w:shd w:val="clear" w:color="auto" w:fill="F3F5F8"/>
          </w:tcPr>
          <w:p>
            <w:r/>
            <w:r>
              <w:rPr>
                <w:sz w:val="16"/>
              </w:rPr>
              <w:t>Stalled: no activity since 12 Aug; client focus shifted to Atlas recovery</w:t>
            </w:r>
          </w:p>
        </w:tc>
      </w:tr>
      <w:tr>
        <w:tc>
          <w:tcPr>
            <w:tcW w:type="dxa" w:w="965"/>
          </w:tcPr>
          <w:p>
            <w:r/>
            <w:r>
              <w:rPr>
                <w:sz w:val="16"/>
              </w:rPr>
              <w:t>OPP-24103</w:t>
            </w:r>
          </w:p>
        </w:tc>
        <w:tc>
          <w:tcPr>
            <w:tcW w:type="dxa" w:w="1833"/>
          </w:tcPr>
          <w:p>
            <w:r/>
            <w:r>
              <w:rPr>
                <w:sz w:val="16"/>
              </w:rPr>
              <w:t>Atlas Wave 3 Rollout Change Request</w:t>
            </w:r>
          </w:p>
        </w:tc>
        <w:tc>
          <w:tcPr>
            <w:tcW w:type="dxa" w:w="1254"/>
          </w:tcPr>
          <w:p>
            <w:r/>
            <w:r>
              <w:rPr>
                <w:sz w:val="16"/>
              </w:rPr>
              <w:t>Application Modernization</w:t>
            </w:r>
          </w:p>
        </w:tc>
        <w:tc>
          <w:tcPr>
            <w:tcW w:type="dxa" w:w="772"/>
          </w:tcPr>
          <w:p>
            <w:r/>
            <w:r>
              <w:rPr>
                <w:sz w:val="16"/>
              </w:rPr>
              <w:t>$380,000</w:t>
            </w:r>
          </w:p>
        </w:tc>
        <w:tc>
          <w:tcPr>
            <w:tcW w:type="dxa" w:w="965"/>
          </w:tcPr>
          <w:p>
            <w:r/>
            <w:r>
              <w:rPr>
                <w:sz w:val="16"/>
              </w:rPr>
              <w:t>2 - Discover</w:t>
            </w:r>
          </w:p>
        </w:tc>
        <w:tc>
          <w:tcPr>
            <w:tcW w:type="dxa" w:w="579"/>
          </w:tcPr>
          <w:p>
            <w:r/>
            <w:r>
              <w:rPr>
                <w:sz w:val="16"/>
              </w:rPr>
              <w:t>25%</w:t>
            </w:r>
          </w:p>
        </w:tc>
        <w:tc>
          <w:tcPr>
            <w:tcW w:type="dxa" w:w="868"/>
          </w:tcPr>
          <w:p>
            <w:r/>
            <w:r>
              <w:rPr>
                <w:sz w:val="16"/>
              </w:rPr>
              <w:t>15 Dec 2026</w:t>
            </w:r>
          </w:p>
        </w:tc>
        <w:tc>
          <w:tcPr>
            <w:tcW w:type="dxa" w:w="2412"/>
          </w:tcPr>
          <w:p>
            <w:r/>
            <w:r>
              <w:rPr>
                <w:sz w:val="16"/>
              </w:rPr>
              <w:t>On hold until wave 2 stabilises</w:t>
            </w:r>
          </w:p>
        </w:tc>
      </w:tr>
    </w:tbl>
    <w:p>
      <w:pPr>
        <w:spacing w:after="40"/>
      </w:pPr>
    </w:p>
    <w:p>
      <w:pPr>
        <w:pStyle w:val="Heading1"/>
      </w:pPr>
      <w:r>
        <w:t>4. White space</w:t>
      </w:r>
    </w:p>
    <w:tbl>
      <w:tblPr>
        <w:tblStyle w:val="TableGrid"/>
        <w:tblW w:type="dxa" w:w="9647"/>
        <w:jc w:val="center"/>
        <w:tblLook w:firstColumn="1" w:firstRow="1" w:lastColumn="0" w:lastRow="0" w:noHBand="0" w:noVBand="1" w:val="04A0"/>
        <w:tblLayout w:type="fixed"/>
        <w:tblCellMar>
          <w:top w:w="60" w:type="dxa"/>
          <w:left w:w="90" w:type="dxa"/>
          <w:bottom w:w="60" w:type="dxa"/>
          <w:right w:w="90" w:type="dxa"/>
        </w:tblCellMar>
      </w:tblPr>
      <w:tblGrid>
        <w:gridCol w:w="2297"/>
        <w:gridCol w:w="2641"/>
        <w:gridCol w:w="1263"/>
        <w:gridCol w:w="3445"/>
      </w:tblGrid>
      <w:tr>
        <w:trPr>
          <w:tblHeader w:val="true"/>
        </w:trPr>
        <w:tc>
          <w:tcPr>
            <w:tcW w:type="dxa" w:w="2297"/>
            <w:shd w:val="clear" w:color="auto" w:fill="1B2A4A"/>
          </w:tcPr>
          <w:p>
            <w:r/>
            <w:r>
              <w:rPr>
                <w:b/>
                <w:color w:val="FFFFFF"/>
                <w:sz w:val="18"/>
              </w:rPr>
              <w:t>Service</w:t>
            </w:r>
          </w:p>
        </w:tc>
        <w:tc>
          <w:tcPr>
            <w:tcW w:type="dxa" w:w="2642"/>
            <w:shd w:val="clear" w:color="auto" w:fill="1B2A4A"/>
          </w:tcPr>
          <w:p>
            <w:r/>
            <w:r>
              <w:rPr>
                <w:b/>
                <w:color w:val="FFFFFF"/>
                <w:sz w:val="18"/>
              </w:rPr>
              <w:t>Current provider</w:t>
            </w:r>
          </w:p>
        </w:tc>
        <w:tc>
          <w:tcPr>
            <w:tcW w:type="dxa" w:w="1263"/>
            <w:shd w:val="clear" w:color="auto" w:fill="1B2A4A"/>
          </w:tcPr>
          <w:p>
            <w:r/>
            <w:r>
              <w:rPr>
                <w:b/>
                <w:color w:val="FFFFFF"/>
                <w:sz w:val="18"/>
              </w:rPr>
              <w:t>Contract end</w:t>
            </w:r>
          </w:p>
        </w:tc>
        <w:tc>
          <w:tcPr>
            <w:tcW w:type="dxa" w:w="3446"/>
            <w:shd w:val="clear" w:color="auto" w:fill="1B2A4A"/>
          </w:tcPr>
          <w:p>
            <w:r/>
            <w:r>
              <w:rPr>
                <w:b/>
                <w:color w:val="FFFFFF"/>
                <w:sz w:val="18"/>
              </w:rPr>
              <w:t>Opportunity for Visionet</w:t>
            </w:r>
          </w:p>
        </w:tc>
      </w:tr>
      <w:tr>
        <w:tc>
          <w:tcPr>
            <w:tcW w:type="dxa" w:w="2297"/>
          </w:tcPr>
          <w:p>
            <w:r/>
            <w:r>
              <w:rPr>
                <w:sz w:val="18"/>
              </w:rPr>
              <w:t>E-commerce platform support</w:t>
            </w:r>
          </w:p>
        </w:tc>
        <w:tc>
          <w:tcPr>
            <w:tcW w:type="dxa" w:w="2642"/>
          </w:tcPr>
          <w:p>
            <w:r/>
            <w:r>
              <w:rPr>
                <w:sz w:val="18"/>
              </w:rPr>
              <w:t>In-house + Publicis Sapient</w:t>
            </w:r>
          </w:p>
        </w:tc>
        <w:tc>
          <w:tcPr>
            <w:tcW w:type="dxa" w:w="1263"/>
          </w:tcPr>
          <w:p>
            <w:r/>
            <w:r>
              <w:rPr>
                <w:sz w:val="18"/>
              </w:rPr>
              <w:t>Mar 2027</w:t>
            </w:r>
          </w:p>
        </w:tc>
        <w:tc>
          <w:tcPr>
            <w:tcW w:type="dxa" w:w="3446"/>
          </w:tcPr>
          <w:p>
            <w:r/>
            <w:r>
              <w:rPr>
                <w:sz w:val="18"/>
              </w:rPr>
              <w:t>AMS extension (est. $600K/yr)</w:t>
            </w:r>
          </w:p>
        </w:tc>
      </w:tr>
      <w:tr>
        <w:tc>
          <w:tcPr>
            <w:tcW w:type="dxa" w:w="2297"/>
            <w:shd w:val="clear" w:color="auto" w:fill="F3F5F8"/>
          </w:tcPr>
          <w:p>
            <w:r/>
            <w:r>
              <w:rPr>
                <w:sz w:val="18"/>
              </w:rPr>
              <w:t>Cloud hosting (Azure)</w:t>
            </w:r>
          </w:p>
        </w:tc>
        <w:tc>
          <w:tcPr>
            <w:tcW w:type="dxa" w:w="2642"/>
            <w:shd w:val="clear" w:color="auto" w:fill="F3F5F8"/>
          </w:tcPr>
          <w:p>
            <w:r/>
            <w:r>
              <w:rPr>
                <w:sz w:val="18"/>
              </w:rPr>
              <w:t>In-house</w:t>
            </w:r>
          </w:p>
        </w:tc>
        <w:tc>
          <w:tcPr>
            <w:tcW w:type="dxa" w:w="1263"/>
            <w:shd w:val="clear" w:color="auto" w:fill="F3F5F8"/>
          </w:tcPr>
          <w:p>
            <w:r/>
            <w:r>
              <w:rPr>
                <w:sz w:val="18"/>
              </w:rPr>
              <w:t>-</w:t>
            </w:r>
          </w:p>
        </w:tc>
        <w:tc>
          <w:tcPr>
            <w:tcW w:type="dxa" w:w="3446"/>
            <w:shd w:val="clear" w:color="auto" w:fill="F3F5F8"/>
          </w:tcPr>
          <w:p>
            <w:r/>
            <w:r>
              <w:rPr>
                <w:sz w:val="18"/>
              </w:rPr>
              <w:t>Managed cloud operations (est. $350K/yr)</w:t>
            </w:r>
          </w:p>
        </w:tc>
      </w:tr>
      <w:tr>
        <w:tc>
          <w:tcPr>
            <w:tcW w:type="dxa" w:w="2297"/>
          </w:tcPr>
          <w:p>
            <w:r/>
            <w:r>
              <w:rPr>
                <w:sz w:val="18"/>
              </w:rPr>
              <w:t>Cybersecurity / SOC</w:t>
            </w:r>
          </w:p>
        </w:tc>
        <w:tc>
          <w:tcPr>
            <w:tcW w:type="dxa" w:w="2642"/>
          </w:tcPr>
          <w:p>
            <w:r/>
            <w:r>
              <w:rPr>
                <w:sz w:val="18"/>
              </w:rPr>
              <w:t>Optiv</w:t>
            </w:r>
          </w:p>
        </w:tc>
        <w:tc>
          <w:tcPr>
            <w:tcW w:type="dxa" w:w="1263"/>
          </w:tcPr>
          <w:p>
            <w:r/>
            <w:r>
              <w:rPr>
                <w:sz w:val="18"/>
              </w:rPr>
              <w:t>Aug 2027</w:t>
            </w:r>
          </w:p>
        </w:tc>
        <w:tc>
          <w:tcPr>
            <w:tcW w:type="dxa" w:w="3446"/>
          </w:tcPr>
          <w:p>
            <w:r/>
            <w:r>
              <w:rPr>
                <w:sz w:val="18"/>
              </w:rPr>
              <w:t>MXDR (est. $500K/yr) - low priority</w:t>
            </w:r>
          </w:p>
        </w:tc>
      </w:tr>
      <w:tr>
        <w:tc>
          <w:tcPr>
            <w:tcW w:type="dxa" w:w="2297"/>
            <w:shd w:val="clear" w:color="auto" w:fill="F3F5F8"/>
          </w:tcPr>
          <w:p>
            <w:r/>
            <w:r>
              <w:rPr>
                <w:sz w:val="18"/>
              </w:rPr>
              <w:t>Loyalty analytics</w:t>
            </w:r>
          </w:p>
        </w:tc>
        <w:tc>
          <w:tcPr>
            <w:tcW w:type="dxa" w:w="2642"/>
            <w:shd w:val="clear" w:color="auto" w:fill="F3F5F8"/>
          </w:tcPr>
          <w:p>
            <w:r/>
            <w:r>
              <w:rPr>
                <w:sz w:val="18"/>
              </w:rPr>
              <w:t>None (spreadsheets + SAS)</w:t>
            </w:r>
          </w:p>
        </w:tc>
        <w:tc>
          <w:tcPr>
            <w:tcW w:type="dxa" w:w="1263"/>
            <w:shd w:val="clear" w:color="auto" w:fill="F3F5F8"/>
          </w:tcPr>
          <w:p>
            <w:r/>
            <w:r>
              <w:rPr>
                <w:sz w:val="18"/>
              </w:rPr>
              <w:t>-</w:t>
            </w:r>
          </w:p>
        </w:tc>
        <w:tc>
          <w:tcPr>
            <w:tcW w:type="dxa" w:w="3446"/>
            <w:shd w:val="clear" w:color="auto" w:fill="F3F5F8"/>
          </w:tcPr>
          <w:p>
            <w:r/>
            <w:r>
              <w:rPr>
                <w:sz w:val="18"/>
              </w:rPr>
              <w:t>OPP-24102 Fabric analytics ($640K)</w:t>
            </w:r>
          </w:p>
        </w:tc>
      </w:tr>
      <w:tr>
        <w:tc>
          <w:tcPr>
            <w:tcW w:type="dxa" w:w="2297"/>
          </w:tcPr>
          <w:p>
            <w:r/>
            <w:r>
              <w:rPr>
                <w:sz w:val="18"/>
              </w:rPr>
              <w:t>Supply chain planning</w:t>
            </w:r>
          </w:p>
        </w:tc>
        <w:tc>
          <w:tcPr>
            <w:tcW w:type="dxa" w:w="2642"/>
          </w:tcPr>
          <w:p>
            <w:r/>
            <w:r>
              <w:rPr>
                <w:sz w:val="18"/>
              </w:rPr>
              <w:t>Blue Yonder (SaaS) + Infosys support</w:t>
            </w:r>
          </w:p>
        </w:tc>
        <w:tc>
          <w:tcPr>
            <w:tcW w:type="dxa" w:w="1263"/>
          </w:tcPr>
          <w:p>
            <w:r/>
            <w:r>
              <w:rPr>
                <w:sz w:val="18"/>
              </w:rPr>
              <w:t>Jun 2027</w:t>
            </w:r>
          </w:p>
        </w:tc>
        <w:tc>
          <w:tcPr>
            <w:tcW w:type="dxa" w:w="3446"/>
          </w:tcPr>
          <w:p>
            <w:r/>
            <w:r>
              <w:rPr>
                <w:sz w:val="18"/>
              </w:rPr>
              <w:t>Not a target in FY27</w:t>
            </w:r>
          </w:p>
        </w:tc>
      </w:tr>
    </w:tbl>
    <w:p>
      <w:pPr>
        <w:spacing w:after="40"/>
      </w:pPr>
    </w:p>
    <w:p>
      <w:pPr>
        <w:pStyle w:val="Heading1"/>
      </w:pPr>
      <w:r>
        <w:t>5. Risks and mitigations</w:t>
      </w:r>
    </w:p>
    <w:tbl>
      <w:tblPr>
        <w:tblStyle w:val="TableGrid"/>
        <w:tblW w:type="dxa" w:w="9647"/>
        <w:jc w:val="center"/>
        <w:tblLook w:firstColumn="1" w:firstRow="1" w:lastColumn="0" w:lastRow="0" w:noHBand="0" w:noVBand="1" w:val="04A0"/>
        <w:tblLayout w:type="fixed"/>
        <w:tblCellMar>
          <w:top w:w="60" w:type="dxa"/>
          <w:left w:w="90" w:type="dxa"/>
          <w:bottom w:w="60" w:type="dxa"/>
          <w:right w:w="90" w:type="dxa"/>
        </w:tblCellMar>
      </w:tblPr>
      <w:tblGrid>
        <w:gridCol w:w="2661"/>
        <w:gridCol w:w="776"/>
        <w:gridCol w:w="998"/>
        <w:gridCol w:w="3770"/>
        <w:gridCol w:w="1441"/>
      </w:tblGrid>
      <w:tr>
        <w:trPr>
          <w:tblHeader w:val="true"/>
        </w:trPr>
        <w:tc>
          <w:tcPr>
            <w:tcW w:type="dxa" w:w="2662"/>
            <w:shd w:val="clear" w:color="auto" w:fill="1B2A4A"/>
          </w:tcPr>
          <w:p>
            <w:r/>
            <w:r>
              <w:rPr>
                <w:b/>
                <w:color w:val="FFFFFF"/>
                <w:sz w:val="18"/>
              </w:rPr>
              <w:t>Risk</w:t>
            </w:r>
          </w:p>
        </w:tc>
        <w:tc>
          <w:tcPr>
            <w:tcW w:type="dxa" w:w="776"/>
            <w:shd w:val="clear" w:color="auto" w:fill="1B2A4A"/>
          </w:tcPr>
          <w:p>
            <w:r/>
            <w:r>
              <w:rPr>
                <w:b/>
                <w:color w:val="FFFFFF"/>
                <w:sz w:val="18"/>
              </w:rPr>
              <w:t>Impact</w:t>
            </w:r>
          </w:p>
        </w:tc>
        <w:tc>
          <w:tcPr>
            <w:tcW w:type="dxa" w:w="998"/>
            <w:shd w:val="clear" w:color="auto" w:fill="1B2A4A"/>
          </w:tcPr>
          <w:p>
            <w:r/>
            <w:r>
              <w:rPr>
                <w:b/>
                <w:color w:val="FFFFFF"/>
                <w:sz w:val="18"/>
              </w:rPr>
              <w:t>Likelihood</w:t>
            </w:r>
          </w:p>
        </w:tc>
        <w:tc>
          <w:tcPr>
            <w:tcW w:type="dxa" w:w="3770"/>
            <w:shd w:val="clear" w:color="auto" w:fill="1B2A4A"/>
          </w:tcPr>
          <w:p>
            <w:r/>
            <w:r>
              <w:rPr>
                <w:b/>
                <w:color w:val="FFFFFF"/>
                <w:sz w:val="18"/>
              </w:rPr>
              <w:t>Mitigation</w:t>
            </w:r>
          </w:p>
        </w:tc>
        <w:tc>
          <w:tcPr>
            <w:tcW w:type="dxa" w:w="1442"/>
            <w:shd w:val="clear" w:color="auto" w:fill="1B2A4A"/>
          </w:tcPr>
          <w:p>
            <w:r/>
            <w:r>
              <w:rPr>
                <w:b/>
                <w:color w:val="FFFFFF"/>
                <w:sz w:val="18"/>
              </w:rPr>
              <w:t>Owner</w:t>
            </w:r>
          </w:p>
        </w:tc>
      </w:tr>
      <w:tr>
        <w:tc>
          <w:tcPr>
            <w:tcW w:type="dxa" w:w="2662"/>
          </w:tcPr>
          <w:p>
            <w:r/>
            <w:r>
              <w:rPr>
                <w:sz w:val="18"/>
              </w:rPr>
              <w:t>Atlas wave 2 instability continues into holiday peak</w:t>
            </w:r>
          </w:p>
        </w:tc>
        <w:tc>
          <w:tcPr>
            <w:tcW w:type="dxa" w:w="776"/>
          </w:tcPr>
          <w:p>
            <w:r/>
            <w:r>
              <w:rPr>
                <w:sz w:val="18"/>
              </w:rPr>
              <w:t>High</w:t>
            </w:r>
          </w:p>
        </w:tc>
        <w:tc>
          <w:tcPr>
            <w:tcW w:type="dxa" w:w="998"/>
          </w:tcPr>
          <w:p>
            <w:r/>
            <w:r>
              <w:rPr>
                <w:sz w:val="18"/>
              </w:rPr>
              <w:t>High</w:t>
            </w:r>
          </w:p>
        </w:tc>
        <w:tc>
          <w:tcPr>
            <w:tcW w:type="dxa" w:w="3770"/>
          </w:tcPr>
          <w:p>
            <w:r/>
            <w:r>
              <w:rPr>
                <w:sz w:val="18"/>
              </w:rPr>
              <w:t>Recovery plan: stabilisation squad, freeze wave 3 until 15 Jan, daily store-ops call</w:t>
            </w:r>
          </w:p>
        </w:tc>
        <w:tc>
          <w:tcPr>
            <w:tcW w:type="dxa" w:w="1442"/>
          </w:tcPr>
          <w:p>
            <w:r/>
            <w:r>
              <w:rPr>
                <w:sz w:val="18"/>
              </w:rPr>
              <w:t>Arjun Mehta</w:t>
            </w:r>
          </w:p>
        </w:tc>
      </w:tr>
      <w:tr>
        <w:tc>
          <w:tcPr>
            <w:tcW w:type="dxa" w:w="2662"/>
            <w:shd w:val="clear" w:color="auto" w:fill="F3F5F8"/>
          </w:tcPr>
          <w:p>
            <w:r/>
            <w:r>
              <w:rPr>
                <w:sz w:val="18"/>
              </w:rPr>
              <w:t>AMS renewal lost to Infosys on price</w:t>
            </w:r>
          </w:p>
        </w:tc>
        <w:tc>
          <w:tcPr>
            <w:tcW w:type="dxa" w:w="776"/>
            <w:shd w:val="clear" w:color="auto" w:fill="F3F5F8"/>
          </w:tcPr>
          <w:p>
            <w:r/>
            <w:r>
              <w:rPr>
                <w:sz w:val="18"/>
              </w:rPr>
              <w:t>High</w:t>
            </w:r>
          </w:p>
        </w:tc>
        <w:tc>
          <w:tcPr>
            <w:tcW w:type="dxa" w:w="998"/>
            <w:shd w:val="clear" w:color="auto" w:fill="F3F5F8"/>
          </w:tcPr>
          <w:p>
            <w:r/>
            <w:r>
              <w:rPr>
                <w:sz w:val="18"/>
              </w:rPr>
              <w:t>Medium</w:t>
            </w:r>
          </w:p>
        </w:tc>
        <w:tc>
          <w:tcPr>
            <w:tcW w:type="dxa" w:w="3770"/>
            <w:shd w:val="clear" w:color="auto" w:fill="F3F5F8"/>
          </w:tcPr>
          <w:p>
            <w:r/>
            <w:r>
              <w:rPr>
                <w:sz w:val="18"/>
              </w:rPr>
              <w:t>Renewal proposal with 6% productivity credit and Atlas service credits</w:t>
            </w:r>
          </w:p>
        </w:tc>
        <w:tc>
          <w:tcPr>
            <w:tcW w:type="dxa" w:w="1442"/>
            <w:shd w:val="clear" w:color="auto" w:fill="F3F5F8"/>
          </w:tcPr>
          <w:p>
            <w:r/>
            <w:r>
              <w:rPr>
                <w:sz w:val="18"/>
              </w:rPr>
              <w:t>Priya Raman</w:t>
            </w:r>
          </w:p>
        </w:tc>
      </w:tr>
      <w:tr>
        <w:tc>
          <w:tcPr>
            <w:tcW w:type="dxa" w:w="2662"/>
          </w:tcPr>
          <w:p>
            <w:r/>
            <w:r>
              <w:rPr>
                <w:sz w:val="18"/>
              </w:rPr>
              <w:t>No relationship with new VP Technology</w:t>
            </w:r>
          </w:p>
        </w:tc>
        <w:tc>
          <w:tcPr>
            <w:tcW w:type="dxa" w:w="776"/>
          </w:tcPr>
          <w:p>
            <w:r/>
            <w:r>
              <w:rPr>
                <w:sz w:val="18"/>
              </w:rPr>
              <w:t>High</w:t>
            </w:r>
          </w:p>
        </w:tc>
        <w:tc>
          <w:tcPr>
            <w:tcW w:type="dxa" w:w="998"/>
          </w:tcPr>
          <w:p>
            <w:r/>
            <w:r>
              <w:rPr>
                <w:sz w:val="18"/>
              </w:rPr>
              <w:t>High</w:t>
            </w:r>
          </w:p>
        </w:tc>
        <w:tc>
          <w:tcPr>
            <w:tcW w:type="dxa" w:w="3770"/>
          </w:tcPr>
          <w:p>
            <w:r/>
            <w:r>
              <w:rPr>
                <w:sz w:val="18"/>
              </w:rPr>
              <w:t>Intro meeting 1 Oct held; 1:1 with Arjun and Priya by 16 Oct; executive sponsor Laura Chen</w:t>
            </w:r>
          </w:p>
        </w:tc>
        <w:tc>
          <w:tcPr>
            <w:tcW w:type="dxa" w:w="1442"/>
          </w:tcPr>
          <w:p>
            <w:r/>
            <w:r>
              <w:rPr>
                <w:sz w:val="18"/>
              </w:rPr>
              <w:t>Priya Raman</w:t>
            </w:r>
          </w:p>
        </w:tc>
      </w:tr>
      <w:tr>
        <w:tc>
          <w:tcPr>
            <w:tcW w:type="dxa" w:w="2662"/>
            <w:shd w:val="clear" w:color="auto" w:fill="F3F5F8"/>
          </w:tcPr>
          <w:p>
            <w:r/>
            <w:r>
              <w:rPr>
                <w:sz w:val="18"/>
              </w:rPr>
              <w:t>Atlas fixed-price overrun erodes margin</w:t>
            </w:r>
          </w:p>
        </w:tc>
        <w:tc>
          <w:tcPr>
            <w:tcW w:type="dxa" w:w="776"/>
            <w:shd w:val="clear" w:color="auto" w:fill="F3F5F8"/>
          </w:tcPr>
          <w:p>
            <w:r/>
            <w:r>
              <w:rPr>
                <w:sz w:val="18"/>
              </w:rPr>
              <w:t>Medium</w:t>
            </w:r>
          </w:p>
        </w:tc>
        <w:tc>
          <w:tcPr>
            <w:tcW w:type="dxa" w:w="998"/>
            <w:shd w:val="clear" w:color="auto" w:fill="F3F5F8"/>
          </w:tcPr>
          <w:p>
            <w:r/>
            <w:r>
              <w:rPr>
                <w:sz w:val="18"/>
              </w:rPr>
              <w:t>High</w:t>
            </w:r>
          </w:p>
        </w:tc>
        <w:tc>
          <w:tcPr>
            <w:tcW w:type="dxa" w:w="3770"/>
            <w:shd w:val="clear" w:color="auto" w:fill="F3F5F8"/>
          </w:tcPr>
          <w:p>
            <w:r/>
            <w:r>
              <w:rPr>
                <w:sz w:val="18"/>
              </w:rPr>
              <w:t>Change request OPP-24103 for wave 3 scope</w:t>
            </w:r>
          </w:p>
        </w:tc>
        <w:tc>
          <w:tcPr>
            <w:tcW w:type="dxa" w:w="1442"/>
            <w:shd w:val="clear" w:color="auto" w:fill="F3F5F8"/>
          </w:tcPr>
          <w:p>
            <w:r/>
            <w:r>
              <w:rPr>
                <w:sz w:val="18"/>
              </w:rPr>
              <w:t>Kavya Iyer</w:t>
            </w:r>
          </w:p>
        </w:tc>
      </w:tr>
    </w:tbl>
    <w:p>
      <w:pPr>
        <w:spacing w:after="40"/>
      </w:pPr>
    </w:p>
    <w:p>
      <w:pPr>
        <w:pStyle w:val="Heading1"/>
      </w:pPr>
      <w:r>
        <w:t>6. FY2027 objectives and actions</w:t>
      </w:r>
    </w:p>
    <w:p>
      <w:pPr>
        <w:pStyle w:val="ListNumber"/>
        <w:spacing w:after="40"/>
      </w:pPr>
      <w:r>
        <w:rPr/>
        <w:t>Stabilise Atlas wave 2 by 30 October: POS uptime of at least 99.5% across wave 2 stores.</w:t>
      </w:r>
    </w:p>
    <w:p>
      <w:pPr>
        <w:pStyle w:val="ListNumber"/>
        <w:spacing w:after="40"/>
      </w:pPr>
      <w:r>
        <w:rPr/>
        <w:t>Renew AMS by 15 January 2027 at no less than $1.35M ACV.</w:t>
      </w:r>
    </w:p>
    <w:p>
      <w:pPr>
        <w:pStyle w:val="ListNumber"/>
        <w:spacing w:after="40"/>
      </w:pPr>
      <w:r>
        <w:rPr/>
        <w:t>Build a relationship with Sofia Lindqvist: 3 meetings by 30 November, including one store visit.</w:t>
      </w:r>
    </w:p>
    <w:p>
      <w:pPr>
        <w:pStyle w:val="ListNumber"/>
        <w:spacing w:after="40"/>
      </w:pPr>
      <w:r>
        <w:rPr/>
        <w:t>Restart Loyalty Analytics (OPP-24102) in Q1 FY27 once Atlas is green.</w:t>
      </w:r>
    </w:p>
    <w:p>
      <w:pPr>
        <w:pStyle w:val="ListNumber"/>
        <w:spacing w:after="40"/>
      </w:pPr>
      <w:r>
        <w:rPr/>
        <w:t>Recover CSAT to 7.5 or higher in the Q4 customer pulse.</w:t>
      </w:r>
    </w:p>
    <w:tbl>
      <w:tblPr>
        <w:tblStyle w:val="TableGrid"/>
        <w:tblW w:type="dxa" w:w="9647"/>
        <w:jc w:val="center"/>
        <w:tblLook w:firstColumn="1" w:firstRow="1" w:lastColumn="0" w:lastRow="0" w:noHBand="0" w:noVBand="1" w:val="04A0"/>
        <w:tblLayout w:type="fixed"/>
        <w:tblCellMar>
          <w:top w:w="60" w:type="dxa"/>
          <w:left w:w="90" w:type="dxa"/>
          <w:bottom w:w="60" w:type="dxa"/>
          <w:right w:w="90" w:type="dxa"/>
        </w:tblCellMar>
      </w:tblPr>
      <w:tblGrid>
        <w:gridCol w:w="4947"/>
        <w:gridCol w:w="1979"/>
        <w:gridCol w:w="1360"/>
        <w:gridCol w:w="1360"/>
      </w:tblGrid>
      <w:tr>
        <w:trPr>
          <w:tblHeader w:val="true"/>
        </w:trPr>
        <w:tc>
          <w:tcPr>
            <w:tcW w:type="dxa" w:w="4948"/>
            <w:shd w:val="clear" w:color="auto" w:fill="1B2A4A"/>
          </w:tcPr>
          <w:p>
            <w:r/>
            <w:r>
              <w:rPr>
                <w:b/>
                <w:color w:val="FFFFFF"/>
                <w:sz w:val="18"/>
              </w:rPr>
              <w:t>Action</w:t>
            </w:r>
          </w:p>
        </w:tc>
        <w:tc>
          <w:tcPr>
            <w:tcW w:type="dxa" w:w="1979"/>
            <w:shd w:val="clear" w:color="auto" w:fill="1B2A4A"/>
          </w:tcPr>
          <w:p>
            <w:r/>
            <w:r>
              <w:rPr>
                <w:b/>
                <w:color w:val="FFFFFF"/>
                <w:sz w:val="18"/>
              </w:rPr>
              <w:t>Owner</w:t>
            </w:r>
          </w:p>
        </w:tc>
        <w:tc>
          <w:tcPr>
            <w:tcW w:type="dxa" w:w="1361"/>
            <w:shd w:val="clear" w:color="auto" w:fill="1B2A4A"/>
          </w:tcPr>
          <w:p>
            <w:r/>
            <w:r>
              <w:rPr>
                <w:b/>
                <w:color w:val="FFFFFF"/>
                <w:sz w:val="18"/>
              </w:rPr>
              <w:t>Due</w:t>
            </w:r>
          </w:p>
        </w:tc>
        <w:tc>
          <w:tcPr>
            <w:tcW w:type="dxa" w:w="1361"/>
            <w:shd w:val="clear" w:color="auto" w:fill="1B2A4A"/>
          </w:tcPr>
          <w:p>
            <w:r/>
            <w:r>
              <w:rPr>
                <w:b/>
                <w:color w:val="FFFFFF"/>
                <w:sz w:val="18"/>
              </w:rPr>
              <w:t>Status</w:t>
            </w:r>
          </w:p>
        </w:tc>
      </w:tr>
      <w:tr>
        <w:tc>
          <w:tcPr>
            <w:tcW w:type="dxa" w:w="4948"/>
          </w:tcPr>
          <w:p>
            <w:r/>
            <w:r>
              <w:rPr>
                <w:sz w:val="18"/>
              </w:rPr>
              <w:t>Send Atlas recovery plan to Lena Fischer</w:t>
            </w:r>
          </w:p>
        </w:tc>
        <w:tc>
          <w:tcPr>
            <w:tcW w:type="dxa" w:w="1979"/>
          </w:tcPr>
          <w:p>
            <w:r/>
            <w:r>
              <w:rPr>
                <w:sz w:val="18"/>
              </w:rPr>
              <w:t>Arjun Mehta</w:t>
            </w:r>
          </w:p>
        </w:tc>
        <w:tc>
          <w:tcPr>
            <w:tcW w:type="dxa" w:w="1361"/>
          </w:tcPr>
          <w:p>
            <w:r/>
            <w:r>
              <w:rPr>
                <w:sz w:val="18"/>
              </w:rPr>
              <w:t>8 Oct 2026</w:t>
            </w:r>
          </w:p>
        </w:tc>
        <w:tc>
          <w:tcPr>
            <w:tcW w:type="dxa" w:w="1361"/>
          </w:tcPr>
          <w:p>
            <w:r/>
            <w:r>
              <w:rPr>
                <w:sz w:val="18"/>
              </w:rPr>
              <w:t>In progress</w:t>
            </w:r>
          </w:p>
        </w:tc>
      </w:tr>
      <w:tr>
        <w:tc>
          <w:tcPr>
            <w:tcW w:type="dxa" w:w="4948"/>
            <w:shd w:val="clear" w:color="auto" w:fill="F3F5F8"/>
          </w:tcPr>
          <w:p>
            <w:r/>
            <w:r>
              <w:rPr>
                <w:sz w:val="18"/>
              </w:rPr>
              <w:t>1:1 with Sofia Lindqvist (intro + Atlas plan)</w:t>
            </w:r>
          </w:p>
        </w:tc>
        <w:tc>
          <w:tcPr>
            <w:tcW w:type="dxa" w:w="1979"/>
            <w:shd w:val="clear" w:color="auto" w:fill="F3F5F8"/>
          </w:tcPr>
          <w:p>
            <w:r/>
            <w:r>
              <w:rPr>
                <w:sz w:val="18"/>
              </w:rPr>
              <w:t>Priya Raman</w:t>
            </w:r>
          </w:p>
        </w:tc>
        <w:tc>
          <w:tcPr>
            <w:tcW w:type="dxa" w:w="1361"/>
            <w:shd w:val="clear" w:color="auto" w:fill="F3F5F8"/>
          </w:tcPr>
          <w:p>
            <w:r/>
            <w:r>
              <w:rPr>
                <w:sz w:val="18"/>
              </w:rPr>
              <w:t>16 Oct 2026</w:t>
            </w:r>
          </w:p>
        </w:tc>
        <w:tc>
          <w:tcPr>
            <w:tcW w:type="dxa" w:w="1361"/>
            <w:shd w:val="clear" w:color="auto" w:fill="F3F5F8"/>
          </w:tcPr>
          <w:p>
            <w:r/>
            <w:r>
              <w:rPr>
                <w:sz w:val="18"/>
              </w:rPr>
              <w:t>Scheduled</w:t>
            </w:r>
          </w:p>
        </w:tc>
      </w:tr>
      <w:tr>
        <w:tc>
          <w:tcPr>
            <w:tcW w:type="dxa" w:w="4948"/>
          </w:tcPr>
          <w:p>
            <w:r/>
            <w:r>
              <w:rPr>
                <w:sz w:val="18"/>
              </w:rPr>
              <w:t>Executive call: Laura Chen with Robert Lang (CFO)</w:t>
            </w:r>
          </w:p>
        </w:tc>
        <w:tc>
          <w:tcPr>
            <w:tcW w:type="dxa" w:w="1979"/>
          </w:tcPr>
          <w:p>
            <w:r/>
            <w:r>
              <w:rPr>
                <w:sz w:val="18"/>
              </w:rPr>
              <w:t>Laura Chen</w:t>
            </w:r>
          </w:p>
        </w:tc>
        <w:tc>
          <w:tcPr>
            <w:tcW w:type="dxa" w:w="1361"/>
          </w:tcPr>
          <w:p>
            <w:r/>
            <w:r>
              <w:rPr>
                <w:sz w:val="18"/>
              </w:rPr>
              <w:t>30 Oct 2026</w:t>
            </w:r>
          </w:p>
        </w:tc>
        <w:tc>
          <w:tcPr>
            <w:tcW w:type="dxa" w:w="1361"/>
          </w:tcPr>
          <w:p>
            <w:r/>
            <w:r>
              <w:rPr>
                <w:sz w:val="18"/>
              </w:rPr>
              <w:t>To request</w:t>
            </w:r>
          </w:p>
        </w:tc>
      </w:tr>
      <w:tr>
        <w:tc>
          <w:tcPr>
            <w:tcW w:type="dxa" w:w="4948"/>
            <w:shd w:val="clear" w:color="auto" w:fill="F3F5F8"/>
          </w:tcPr>
          <w:p>
            <w:r/>
            <w:r>
              <w:rPr>
                <w:sz w:val="18"/>
              </w:rPr>
              <w:t>AMS renewal proposal submitted</w:t>
            </w:r>
          </w:p>
        </w:tc>
        <w:tc>
          <w:tcPr>
            <w:tcW w:type="dxa" w:w="1979"/>
            <w:shd w:val="clear" w:color="auto" w:fill="F3F5F8"/>
          </w:tcPr>
          <w:p>
            <w:r/>
            <w:r>
              <w:rPr>
                <w:sz w:val="18"/>
              </w:rPr>
              <w:t>Priya Raman</w:t>
            </w:r>
          </w:p>
        </w:tc>
        <w:tc>
          <w:tcPr>
            <w:tcW w:type="dxa" w:w="1361"/>
            <w:shd w:val="clear" w:color="auto" w:fill="F3F5F8"/>
          </w:tcPr>
          <w:p>
            <w:r/>
            <w:r>
              <w:rPr>
                <w:sz w:val="18"/>
              </w:rPr>
              <w:t>13 Nov 2026</w:t>
            </w:r>
          </w:p>
        </w:tc>
        <w:tc>
          <w:tcPr>
            <w:tcW w:type="dxa" w:w="1361"/>
            <w:shd w:val="clear" w:color="auto" w:fill="F3F5F8"/>
          </w:tcPr>
          <w:p>
            <w:r/>
            <w:r>
              <w:rPr>
                <w:sz w:val="18"/>
              </w:rPr>
              <w:t>Not started</w:t>
            </w:r>
          </w:p>
        </w:tc>
      </w:tr>
      <w:tr>
        <w:tc>
          <w:tcPr>
            <w:tcW w:type="dxa" w:w="4948"/>
          </w:tcPr>
          <w:p>
            <w:r/>
            <w:r>
              <w:rPr>
                <w:sz w:val="18"/>
              </w:rPr>
              <w:t>Wave 3 change request decision</w:t>
            </w:r>
          </w:p>
        </w:tc>
        <w:tc>
          <w:tcPr>
            <w:tcW w:type="dxa" w:w="1979"/>
          </w:tcPr>
          <w:p>
            <w:r/>
            <w:r>
              <w:rPr>
                <w:sz w:val="18"/>
              </w:rPr>
              <w:t>Kavya Iyer</w:t>
            </w:r>
          </w:p>
        </w:tc>
        <w:tc>
          <w:tcPr>
            <w:tcW w:type="dxa" w:w="1361"/>
          </w:tcPr>
          <w:p>
            <w:r/>
            <w:r>
              <w:rPr>
                <w:sz w:val="18"/>
              </w:rPr>
              <w:t>15 Dec 2026</w:t>
            </w:r>
          </w:p>
        </w:tc>
        <w:tc>
          <w:tcPr>
            <w:tcW w:type="dxa" w:w="1361"/>
          </w:tcPr>
          <w:p>
            <w:r/>
            <w:r>
              <w:rPr>
                <w:sz w:val="18"/>
              </w:rPr>
              <w:t>On hold</w:t>
            </w:r>
          </w:p>
        </w:tc>
      </w:tr>
    </w:tbl>
    <w:p>
      <w:pPr>
        <w:spacing w:after="40"/>
      </w:pPr>
    </w:p>
    <w:sectPr w:rsidR="00FC693F" w:rsidRPr="0006063C" w:rsidSect="00034616">
      <w:headerReference w:type="default" r:id="rId9"/>
      <w:footerReference w:type="default" r:id="rId10"/>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B7280"/>
        <w:sz w:val="15"/>
      </w:rPr>
      <w:t xml:space="preserve">Fictitious data for testing - Enterprise IQ test corpus    Page </w:t>
    </w:r>
    <w:r>
      <w:rPr>
        <w:sz w:val="15"/>
      </w:rPr>
      <w:fldChar w:fldCharType="begin"/>
      <w:instrText xml:space="preserve">PAGE</w:instrText>
      <w:fldChar w:fldCharType="separate"/>
      <w:t>1</w:t>
      <w:fldChar w:fldCharType="end"/>
    </w:r>
    <w:r>
      <w:rPr>
        <w:sz w:val="15"/>
      </w:rPr>
      <w:t xml:space="preserve"> of </w:t>
    </w:r>
    <w:r>
      <w:rPr>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6"/>
      </w:rPr>
      <w:t>Visionet  |  Northwind Traders account plan FY2027</w:t>
    </w:r>
    <w:r>
      <w:tab/>
      <w:tab/>
    </w:r>
    <w:r>
      <w:rPr>
        <w:b/>
        <w:color w:val="C0392B"/>
        <w:sz w:val="16"/>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eastAsiaTheme="majorEastAsia" w:ascii="Calibri" w:hAnsi="Calibri" w:cs="Calibri"/>
      <w:b/>
      <w:bCs/>
      <w:color w:val="1B2A4A"/>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eastAsiaTheme="majorEastAsia" w:ascii="Calibri" w:hAnsi="Calibri" w:cs="Calibri"/>
      <w:b/>
      <w:bCs/>
      <w:color w:val="0F7C9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eastAsiaTheme="majorEastAsia" w:ascii="Calibri" w:hAnsi="Calibri" w:cs="Calibri"/>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Northwind Traders - Account Plan FY2027</dc:title>
  <dc:subject>Strategic account  |  Client since 2019  |  Plan owner: Priya Raman, Client Partner</dc:subject>
  <dc:creator>Priya Raman</dc:creator>
  <cp:keywords>Enterprise IQ</cp:keywords>
  <dc:description>Fictitious data for testing - Enterprise IQ test corpus</dc:description>
  <cp:lastModifiedBy>Priya Raman</cp:lastModifiedBy>
  <cp:revision>1</cp:revision>
  <dcterms:created xsi:type="dcterms:W3CDTF">2026-10-06T09:00:00Z</dcterms:created>
  <dcterms:modified xsi:type="dcterms:W3CDTF">2013-12-23T23:15:00Z</dcterms:modified>
  <cp:category>Confidential</cp:category>
</cp:coreProperties>
</file>