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B2A4A"/>
          <w:sz w:val="40"/>
        </w:rPr>
        <w:t>Fabrikam Health - Executive Meeting Notes</w:t>
      </w:r>
    </w:p>
    <w:p>
      <w:r>
        <w:rPr>
          <w:color w:val="0F7C90"/>
          <w:sz w:val="23"/>
        </w:rPr>
        <w:t>18 September 2026, Fabrikam HQ, Boston  |  Quarterly executive meeting</w:t>
      </w:r>
    </w:p>
    <w:tbl>
      <w:tblPr>
        <w:tblStyle w:val="TableGrid"/>
        <w:tblW w:type="dxa" w:w="9647"/>
        <w:tblLook w:firstColumn="1" w:firstRow="1" w:lastColumn="0" w:lastRow="0" w:noHBand="0" w:noVBand="1" w:val="04A0"/>
        <w:tblLayout w:type="fixed"/>
        <w:tblCellMar>
          <w:top w:w="40" w:type="dxa"/>
          <w:left w:w="80" w:type="dxa"/>
          <w:bottom w:w="40" w:type="dxa"/>
          <w:right w:w="80" w:type="dxa"/>
        </w:tblCellMar>
      </w:tblPr>
      <w:tblGrid>
        <w:gridCol w:w="1791"/>
        <w:gridCol w:w="3032"/>
        <w:gridCol w:w="1791"/>
        <w:gridCol w:w="3032"/>
      </w:tblGrid>
      <w:tr>
        <w:tc>
          <w:tcPr>
            <w:tcW w:type="dxa" w:w="1792"/>
            <w:shd w:val="clear" w:color="auto" w:fill="F3F5F8"/>
          </w:tcPr>
          <w:p>
            <w:r/>
            <w:r>
              <w:rPr>
                <w:b/>
                <w:sz w:val="18"/>
              </w:rPr>
              <w:t>Fabrikam attendees</w:t>
            </w:r>
          </w:p>
        </w:tc>
        <w:tc>
          <w:tcPr>
            <w:tcW w:type="dxa" w:w="3032"/>
          </w:tcPr>
          <w:p>
            <w:r/>
            <w:r>
              <w:rPr>
                <w:sz w:val="18"/>
              </w:rPr>
              <w:t>James Whitaker (CIO), Dr. Alicia Moreno (CMIO), Priyanka Desai (Director, Data &amp; Analytics)</w:t>
            </w:r>
          </w:p>
        </w:tc>
        <w:tc>
          <w:tcPr>
            <w:tcW w:type="dxa" w:w="1792"/>
            <w:shd w:val="clear" w:color="auto" w:fill="F3F5F8"/>
          </w:tcPr>
          <w:p>
            <w:r/>
            <w:r>
              <w:rPr>
                <w:b/>
                <w:sz w:val="18"/>
              </w:rPr>
              <w:t>Account</w:t>
            </w:r>
          </w:p>
        </w:tc>
        <w:tc>
          <w:tcPr>
            <w:tcW w:type="dxa" w:w="3032"/>
          </w:tcPr>
          <w:p>
            <w:r/>
            <w:r>
              <w:rPr>
                <w:sz w:val="18"/>
              </w:rPr>
              <w:t>ACC-1002</w:t>
            </w:r>
          </w:p>
        </w:tc>
      </w:tr>
      <w:tr>
        <w:tc>
          <w:tcPr>
            <w:tcW w:type="dxa" w:w="1792"/>
            <w:shd w:val="clear" w:color="auto" w:fill="F3F5F8"/>
          </w:tcPr>
          <w:p>
            <w:r/>
            <w:r>
              <w:rPr>
                <w:b/>
                <w:sz w:val="18"/>
              </w:rPr>
              <w:t>Visionet attendees</w:t>
            </w:r>
          </w:p>
        </w:tc>
        <w:tc>
          <w:tcPr>
            <w:tcW w:type="dxa" w:w="3032"/>
          </w:tcPr>
          <w:p>
            <w:r/>
            <w:r>
              <w:rPr>
                <w:sz w:val="18"/>
              </w:rPr>
              <w:t>Priya Raman, Nikhil Joshi, Mei Tanaka</w:t>
            </w:r>
          </w:p>
        </w:tc>
        <w:tc>
          <w:tcPr>
            <w:tcW w:type="dxa" w:w="1792"/>
            <w:shd w:val="clear" w:color="auto" w:fill="F3F5F8"/>
          </w:tcPr>
          <w:p>
            <w:r/>
            <w:r>
              <w:rPr>
                <w:b/>
                <w:sz w:val="18"/>
              </w:rPr>
              <w:t>Related</w:t>
            </w:r>
          </w:p>
        </w:tc>
        <w:tc>
          <w:tcPr>
            <w:tcW w:type="dxa" w:w="3032"/>
          </w:tcPr>
          <w:p>
            <w:r/>
            <w:r>
              <w:rPr>
                <w:sz w:val="18"/>
              </w:rPr>
              <w:t>PRG-2003, OPP-24110, OPP-24111</w:t>
            </w:r>
          </w:p>
        </w:tc>
      </w:tr>
    </w:tbl>
    <w:p>
      <w:pPr>
        <w:spacing w:after="40"/>
      </w:pPr>
    </w:p>
    <w:p>
      <w:pPr>
        <w:pStyle w:val="Heading1"/>
      </w:pPr>
      <w:r>
        <w:t>Priorities</w:t>
      </w:r>
    </w:p>
    <w:p>
      <w:pPr>
        <w:pStyle w:val="ListBullet"/>
        <w:spacing w:after="40"/>
      </w:pPr>
      <w:r>
        <w:rPr/>
        <w:t>CMS interoperability and prior authorisation rule: FHIR APIs live by January 2027 (James Whitaker).</w:t>
      </w:r>
    </w:p>
    <w:p>
      <w:pPr>
        <w:pStyle w:val="ListBullet"/>
        <w:spacing w:after="40"/>
      </w:pPr>
      <w:r>
        <w:rPr/>
        <w:t>Population health analytics for the value-based care contracts starting July 2027 (Dr. Moreno).</w:t>
      </w:r>
    </w:p>
    <w:p>
      <w:pPr>
        <w:pStyle w:val="ListBullet"/>
        <w:spacing w:after="40"/>
      </w:pPr>
      <w:r>
        <w:rPr/>
        <w:t>Get the Patient Data Platform's Epic Clarity feed into production before year end (Priyanka Desai).</w:t>
      </w:r>
    </w:p>
    <w:p>
      <w:pPr>
        <w:pStyle w:val="Heading1"/>
      </w:pPr>
      <w:r>
        <w:t>Pain points</w:t>
      </w:r>
    </w:p>
    <w:p>
      <w:pPr>
        <w:pStyle w:val="ListBullet"/>
        <w:spacing w:after="40"/>
      </w:pPr>
      <w:r>
        <w:rPr/>
        <w:t>Clarity feed is six weeks late after the August privacy review; clinicians still get quality measures monthly.</w:t>
      </w:r>
    </w:p>
    <w:p>
      <w:pPr>
        <w:pStyle w:val="ListBullet"/>
        <w:spacing w:after="40"/>
      </w:pPr>
      <w:r>
        <w:rPr/>
        <w:t>Two analytics teams build the same measures in different tools (Tableau and Power BI).</w:t>
      </w:r>
    </w:p>
    <w:p>
      <w:pPr>
        <w:pStyle w:val="Heading1"/>
      </w:pPr>
      <w:r>
        <w:t>Budget and timelines</w:t>
      </w:r>
    </w:p>
    <w:p>
      <w:r>
        <w:rPr/>
        <w:t xml:space="preserve">James confirmed </w:t>
      </w:r>
      <w:r>
        <w:rPr>
          <w:b/>
        </w:rPr>
        <w:t>$1.2M approved in the FY27 capital plan</w:t>
      </w:r>
      <w:r>
        <w:rPr/>
        <w:t xml:space="preserve"> for analytics (fiscal year starts 1 October). Phase 2 decision targeted for end of January 2027. AMS renewal (CTR-7062) to be signed before 15 December.</w:t>
      </w:r>
    </w:p>
    <w:p>
      <w:pPr>
        <w:pStyle w:val="Heading1"/>
      </w:pPr>
      <w:r>
        <w:t>Competitors mentioned</w:t>
      </w:r>
    </w:p>
    <w:p>
      <w:r>
        <w:rPr/>
        <w:t>Dr. Moreno said Deloitte presented a population health accelerator in August "with a lot of slides and no data". James asked whether Visionet could show a working prototype on Fabrikam data.</w:t>
      </w:r>
    </w:p>
    <w:p>
      <w:pPr>
        <w:pStyle w:val="Heading1"/>
      </w:pPr>
      <w:r>
        <w:t>Commitments and next steps</w:t>
      </w:r>
    </w:p>
    <w:tbl>
      <w:tblPr>
        <w:tblStyle w:val="TableGrid"/>
        <w:tblW w:type="dxa" w:w="9647"/>
        <w:jc w:val="center"/>
        <w:tblLook w:firstColumn="1" w:firstRow="1" w:lastColumn="0" w:lastRow="0" w:noHBand="0" w:noVBand="1" w:val="04A0"/>
        <w:tblLayout w:type="fixed"/>
        <w:tblCellMar>
          <w:top w:w="60" w:type="dxa"/>
          <w:left w:w="90" w:type="dxa"/>
          <w:bottom w:w="60" w:type="dxa"/>
          <w:right w:w="90" w:type="dxa"/>
        </w:tblCellMar>
      </w:tblPr>
      <w:tblGrid>
        <w:gridCol w:w="380"/>
        <w:gridCol w:w="5331"/>
        <w:gridCol w:w="1904"/>
        <w:gridCol w:w="2031"/>
      </w:tblGrid>
      <w:tr>
        <w:trPr>
          <w:tblHeader w:val="true"/>
        </w:trPr>
        <w:tc>
          <w:tcPr>
            <w:tcW w:type="dxa" w:w="381"/>
            <w:shd w:val="clear" w:color="auto" w:fill="1B2A4A"/>
          </w:tcPr>
          <w:p>
            <w:r/>
            <w:r>
              <w:rPr>
                <w:b/>
                <w:color w:val="FFFFFF"/>
                <w:sz w:val="18"/>
              </w:rPr>
              <w:t>#</w:t>
            </w:r>
          </w:p>
        </w:tc>
        <w:tc>
          <w:tcPr>
            <w:tcW w:type="dxa" w:w="5332"/>
            <w:shd w:val="clear" w:color="auto" w:fill="1B2A4A"/>
          </w:tcPr>
          <w:p>
            <w:r/>
            <w:r>
              <w:rPr>
                <w:b/>
                <w:color w:val="FFFFFF"/>
                <w:sz w:val="18"/>
              </w:rPr>
              <w:t>Action</w:t>
            </w:r>
          </w:p>
        </w:tc>
        <w:tc>
          <w:tcPr>
            <w:tcW w:type="dxa" w:w="1904"/>
            <w:shd w:val="clear" w:color="auto" w:fill="1B2A4A"/>
          </w:tcPr>
          <w:p>
            <w:r/>
            <w:r>
              <w:rPr>
                <w:b/>
                <w:color w:val="FFFFFF"/>
                <w:sz w:val="18"/>
              </w:rPr>
              <w:t>Owner</w:t>
            </w:r>
          </w:p>
        </w:tc>
        <w:tc>
          <w:tcPr>
            <w:tcW w:type="dxa" w:w="2031"/>
            <w:shd w:val="clear" w:color="auto" w:fill="1B2A4A"/>
          </w:tcPr>
          <w:p>
            <w:r/>
            <w:r>
              <w:rPr>
                <w:b/>
                <w:color w:val="FFFFFF"/>
                <w:sz w:val="18"/>
              </w:rPr>
              <w:t>Due</w:t>
            </w:r>
          </w:p>
        </w:tc>
      </w:tr>
      <w:tr>
        <w:tc>
          <w:tcPr>
            <w:tcW w:type="dxa" w:w="381"/>
          </w:tcPr>
          <w:p>
            <w:r/>
            <w:r>
              <w:rPr>
                <w:sz w:val="18"/>
              </w:rPr>
              <w:t>1</w:t>
            </w:r>
          </w:p>
        </w:tc>
        <w:tc>
          <w:tcPr>
            <w:tcW w:type="dxa" w:w="5332"/>
          </w:tcPr>
          <w:p>
            <w:r/>
            <w:r>
              <w:rPr>
                <w:sz w:val="18"/>
              </w:rPr>
              <w:t>Prototype of three quality measures on de-identified Fabrikam data</w:t>
            </w:r>
          </w:p>
        </w:tc>
        <w:tc>
          <w:tcPr>
            <w:tcW w:type="dxa" w:w="1904"/>
          </w:tcPr>
          <w:p>
            <w:r/>
            <w:r>
              <w:rPr>
                <w:sz w:val="18"/>
              </w:rPr>
              <w:t>Mei Tanaka</w:t>
            </w:r>
          </w:p>
        </w:tc>
        <w:tc>
          <w:tcPr>
            <w:tcW w:type="dxa" w:w="2031"/>
          </w:tcPr>
          <w:p>
            <w:r/>
            <w:r>
              <w:rPr>
                <w:sz w:val="18"/>
              </w:rPr>
              <w:t>30 Oct 2026</w:t>
            </w:r>
          </w:p>
        </w:tc>
      </w:tr>
      <w:tr>
        <w:tc>
          <w:tcPr>
            <w:tcW w:type="dxa" w:w="381"/>
            <w:shd w:val="clear" w:color="auto" w:fill="F3F5F8"/>
          </w:tcPr>
          <w:p>
            <w:r/>
            <w:r>
              <w:rPr>
                <w:sz w:val="18"/>
              </w:rPr>
              <w:t>2</w:t>
            </w:r>
          </w:p>
        </w:tc>
        <w:tc>
          <w:tcPr>
            <w:tcW w:type="dxa" w:w="5332"/>
            <w:shd w:val="clear" w:color="auto" w:fill="F3F5F8"/>
          </w:tcPr>
          <w:p>
            <w:r/>
            <w:r>
              <w:rPr>
                <w:sz w:val="18"/>
              </w:rPr>
              <w:t>Apply for Microsoft ECIF to fund a population health design sprint</w:t>
            </w:r>
          </w:p>
        </w:tc>
        <w:tc>
          <w:tcPr>
            <w:tcW w:type="dxa" w:w="1904"/>
            <w:shd w:val="clear" w:color="auto" w:fill="F3F5F8"/>
          </w:tcPr>
          <w:p>
            <w:r/>
            <w:r>
              <w:rPr>
                <w:sz w:val="18"/>
              </w:rPr>
              <w:t>Elena Novak</w:t>
            </w:r>
          </w:p>
        </w:tc>
        <w:tc>
          <w:tcPr>
            <w:tcW w:type="dxa" w:w="2031"/>
            <w:shd w:val="clear" w:color="auto" w:fill="F3F5F8"/>
          </w:tcPr>
          <w:p>
            <w:r/>
            <w:r>
              <w:rPr>
                <w:sz w:val="18"/>
              </w:rPr>
              <w:t>1 Oct 2026 (done - FND-910)</w:t>
            </w:r>
          </w:p>
        </w:tc>
      </w:tr>
      <w:tr>
        <w:tc>
          <w:tcPr>
            <w:tcW w:type="dxa" w:w="381"/>
          </w:tcPr>
          <w:p>
            <w:r/>
            <w:r>
              <w:rPr>
                <w:sz w:val="18"/>
              </w:rPr>
              <w:t>3</w:t>
            </w:r>
          </w:p>
        </w:tc>
        <w:tc>
          <w:tcPr>
            <w:tcW w:type="dxa" w:w="5332"/>
          </w:tcPr>
          <w:p>
            <w:r/>
            <w:r>
              <w:rPr>
                <w:sz w:val="18"/>
              </w:rPr>
              <w:t>Weekly privacy review slot with Rachel Stone to unblock the Clarity feed</w:t>
            </w:r>
          </w:p>
        </w:tc>
        <w:tc>
          <w:tcPr>
            <w:tcW w:type="dxa" w:w="1904"/>
          </w:tcPr>
          <w:p>
            <w:r/>
            <w:r>
              <w:rPr>
                <w:sz w:val="18"/>
              </w:rPr>
              <w:t>Nikhil Joshi</w:t>
            </w:r>
          </w:p>
        </w:tc>
        <w:tc>
          <w:tcPr>
            <w:tcW w:type="dxa" w:w="2031"/>
          </w:tcPr>
          <w:p>
            <w:r/>
            <w:r>
              <w:rPr>
                <w:sz w:val="18"/>
              </w:rPr>
              <w:t>25 Sep 2026</w:t>
            </w:r>
          </w:p>
        </w:tc>
      </w:tr>
      <w:tr>
        <w:tc>
          <w:tcPr>
            <w:tcW w:type="dxa" w:w="381"/>
            <w:shd w:val="clear" w:color="auto" w:fill="F3F5F8"/>
          </w:tcPr>
          <w:p>
            <w:r/>
            <w:r>
              <w:rPr>
                <w:sz w:val="18"/>
              </w:rPr>
              <w:t>4</w:t>
            </w:r>
          </w:p>
        </w:tc>
        <w:tc>
          <w:tcPr>
            <w:tcW w:type="dxa" w:w="5332"/>
            <w:shd w:val="clear" w:color="auto" w:fill="F3F5F8"/>
          </w:tcPr>
          <w:p>
            <w:r/>
            <w:r>
              <w:rPr>
                <w:sz w:val="18"/>
              </w:rPr>
              <w:t>AMS renewal proposal (final) to James Whitaker</w:t>
            </w:r>
          </w:p>
        </w:tc>
        <w:tc>
          <w:tcPr>
            <w:tcW w:type="dxa" w:w="1904"/>
            <w:shd w:val="clear" w:color="auto" w:fill="F3F5F8"/>
          </w:tcPr>
          <w:p>
            <w:r/>
            <w:r>
              <w:rPr>
                <w:sz w:val="18"/>
              </w:rPr>
              <w:t>Priya Raman</w:t>
            </w:r>
          </w:p>
        </w:tc>
        <w:tc>
          <w:tcPr>
            <w:tcW w:type="dxa" w:w="2031"/>
            <w:shd w:val="clear" w:color="auto" w:fill="F3F5F8"/>
          </w:tcPr>
          <w:p>
            <w:r/>
            <w:r>
              <w:rPr>
                <w:sz w:val="18"/>
              </w:rPr>
              <w:t>6 Oct 2026</w:t>
            </w:r>
          </w:p>
        </w:tc>
      </w:tr>
      <w:tr>
        <w:tc>
          <w:tcPr>
            <w:tcW w:type="dxa" w:w="381"/>
          </w:tcPr>
          <w:p>
            <w:r/>
            <w:r>
              <w:rPr>
                <w:sz w:val="18"/>
              </w:rPr>
              <w:t>5</w:t>
            </w:r>
          </w:p>
        </w:tc>
        <w:tc>
          <w:tcPr>
            <w:tcW w:type="dxa" w:w="5332"/>
          </w:tcPr>
          <w:p>
            <w:r/>
            <w:r>
              <w:rPr>
                <w:sz w:val="18"/>
              </w:rPr>
              <w:t>FHIR API accelerator briefing for the interoperability team</w:t>
            </w:r>
          </w:p>
        </w:tc>
        <w:tc>
          <w:tcPr>
            <w:tcW w:type="dxa" w:w="1904"/>
          </w:tcPr>
          <w:p>
            <w:r/>
            <w:r>
              <w:rPr>
                <w:sz w:val="18"/>
              </w:rPr>
              <w:t>Ravi Shankar</w:t>
            </w:r>
          </w:p>
        </w:tc>
        <w:tc>
          <w:tcPr>
            <w:tcW w:type="dxa" w:w="2031"/>
          </w:tcPr>
          <w:p>
            <w:r/>
            <w:r>
              <w:rPr>
                <w:sz w:val="18"/>
              </w:rPr>
              <w:t>15 Oct 2026</w:t>
            </w:r>
          </w:p>
        </w:tc>
      </w:tr>
    </w:tbl>
    <w:p>
      <w:pPr>
        <w:spacing w:after="40"/>
      </w:pPr>
    </w:p>
    <w:p>
      <w:pPr>
        <w:pStyle w:val="Heading1"/>
      </w:pPr>
      <w:r>
        <w:t>Sentiment</w:t>
      </w:r>
    </w:p>
    <w:p>
      <w:r>
        <w:rPr/>
        <w:t>Positive overall. James praised the AMS team (CSAT 8.6 in the Q3 pulse). Frustration with the Clarity delay is directed at the privacy process rather than at Visionet, but Priyanka wants a firm date.</w:t>
      </w:r>
    </w:p>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7280"/>
        <w:sz w:val="15"/>
      </w:rPr>
      <w:t xml:space="preserve">Fictitious data for testing - Enterprise IQ test corpus    Page </w:t>
    </w:r>
    <w:r>
      <w:rPr>
        <w:sz w:val="15"/>
      </w:rPr>
      <w:fldChar w:fldCharType="begin"/>
      <w:instrText xml:space="preserve">PAGE</w:instrText>
      <w:fldChar w:fldCharType="separate"/>
      <w:t>1</w:t>
      <w:fldChar w:fldCharType="end"/>
    </w:r>
    <w:r>
      <w:rPr>
        <w:sz w:val="15"/>
      </w:rPr>
      <w:t xml:space="preserve"> of </w:t>
    </w:r>
    <w:r>
      <w:rPr>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6"/>
      </w:rPr>
      <w:t>Visionet  |  Fabrikam Health - Executive Meeting Notes</w:t>
    </w:r>
    <w:r>
      <w:tab/>
      <w:tab/>
    </w:r>
    <w:r>
      <w:rPr>
        <w:b/>
        <w:color w:val="C0392B"/>
        <w:sz w:val="16"/>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eastAsiaTheme="majorEastAsia" w:ascii="Calibri" w:hAnsi="Calibri" w:cs="Calibri"/>
      <w:b/>
      <w:bCs/>
      <w:color w:val="1B2A4A"/>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eastAsiaTheme="majorEastAsia" w:ascii="Calibri" w:hAnsi="Calibri" w:cs="Calibri"/>
      <w:b/>
      <w:bCs/>
      <w:color w:val="0F7C9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eastAsiaTheme="majorEastAsia" w:ascii="Calibri" w:hAnsi="Calibri" w:cs="Calibr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Fabrikam Health - Executive Meeting Notes</dc:title>
  <dc:subject>18 September 2026, Fabrikam HQ, Boston  |  Quarterly executive meeting</dc:subject>
  <dc:creator>Priya Raman</dc:creator>
  <cp:keywords>Enterprise IQ</cp:keywords>
  <dc:description>Fictitious data for testing - Enterprise IQ test corpus</dc:description>
  <cp:lastModifiedBy>Priya Raman</cp:lastModifiedBy>
  <cp:revision>1</cp:revision>
  <dcterms:created xsi:type="dcterms:W3CDTF">2026-09-18T09:00:00Z</dcterms:created>
  <dcterms:modified xsi:type="dcterms:W3CDTF">2013-12-23T23:15:00Z</dcterms:modified>
  <cp:category>Confidential</cp:category>
</cp:coreProperties>
</file>