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2A4A"/>
          <w:sz w:val="40"/>
        </w:rPr>
        <w:t>BFSI Cloud Data Modernisation Webinar Series - Post-Event Report</w:t>
      </w:r>
    </w:p>
    <w:p>
      <w:r>
        <w:rPr>
          <w:color w:val="0F7C90"/>
          <w:sz w:val="23"/>
        </w:rPr>
        <w:t>Campaign CMP-2601  |  Three sessions, 22 July - 16 September 2026</w:t>
      </w:r>
    </w:p>
    <w:tbl>
      <w:tblPr>
        <w:tblStyle w:val="TableGrid"/>
        <w:tblW w:type="dxa" w:w="9647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1"/>
        <w:gridCol w:w="3032"/>
        <w:gridCol w:w="1791"/>
        <w:gridCol w:w="3032"/>
      </w:tblGrid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Campaign owner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Sarah Kim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Sessions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3 live + on-demand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Budget / spend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$50,000 / $48,500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Target accounts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Woodgrove Bank, Meridian Bank, Litware Insurance, Calder Insurance</w:t>
            </w:r>
          </w:p>
        </w:tc>
      </w:tr>
    </w:tbl>
    <w:p>
      <w:pPr>
        <w:spacing w:after="40"/>
      </w:pPr>
    </w:p>
    <w:p>
      <w:pPr>
        <w:pStyle w:val="Heading1"/>
      </w:pPr>
      <w:r>
        <w:t>Summary</w:t>
      </w:r>
    </w:p>
    <w:p>
      <w:r>
        <w:rPr/>
        <w:t>The series reached 612 registrants and 284 live attendees (46% attendance against a 35% benchmark). It produced 96 MQLs and 21 SQLs and sourced the Meridian Bank Cloud Data Platform opportunity (OPP-24220, $2.4M), now at proposal stage with 58% win odds.</w:t>
      </w:r>
    </w:p>
    <w:p>
      <w:pPr>
        <w:pStyle w:val="Heading1"/>
      </w:pPr>
      <w:r>
        <w:t>Sessions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02"/>
        <w:gridCol w:w="1004"/>
        <w:gridCol w:w="3014"/>
        <w:gridCol w:w="2411"/>
        <w:gridCol w:w="904"/>
        <w:gridCol w:w="803"/>
        <w:gridCol w:w="904"/>
      </w:tblGrid>
      <w:tr>
        <w:trPr>
          <w:tblHeader w:val="true"/>
        </w:trPr>
        <w:tc>
          <w:tcPr>
            <w:tcW w:type="dxa" w:w="603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1005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015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412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Speakers</w:t>
            </w:r>
          </w:p>
        </w:tc>
        <w:tc>
          <w:tcPr>
            <w:tcW w:type="dxa" w:w="904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Registered</w:t>
            </w:r>
          </w:p>
        </w:tc>
        <w:tc>
          <w:tcPr>
            <w:tcW w:type="dxa" w:w="804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Attended</w:t>
            </w:r>
          </w:p>
        </w:tc>
        <w:tc>
          <w:tcPr>
            <w:tcW w:type="dxa" w:w="904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Attendance</w:t>
            </w:r>
          </w:p>
        </w:tc>
      </w:tr>
      <w:tr>
        <w:tc>
          <w:tcPr>
            <w:tcW w:type="dxa" w:w="60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05"/>
          </w:tcPr>
          <w:p>
            <w:r/>
            <w:r>
              <w:rPr>
                <w:sz w:val="18"/>
              </w:rPr>
              <w:t>22 Jul 2026</w:t>
            </w:r>
          </w:p>
        </w:tc>
        <w:tc>
          <w:tcPr>
            <w:tcW w:type="dxa" w:w="3015"/>
          </w:tcPr>
          <w:p>
            <w:r/>
            <w:r>
              <w:rPr>
                <w:sz w:val="18"/>
              </w:rPr>
              <w:t>From three warehouses to one lakehouse: a BFSI blueprint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Mei Tanaka; Jessica Wu (Microsoft)</w:t>
            </w:r>
          </w:p>
        </w:tc>
        <w:tc>
          <w:tcPr>
            <w:tcW w:type="dxa" w:w="904"/>
          </w:tcPr>
          <w:p>
            <w:r/>
            <w:r>
              <w:rPr>
                <w:sz w:val="18"/>
              </w:rPr>
              <w:t>248</w:t>
            </w:r>
          </w:p>
        </w:tc>
        <w:tc>
          <w:tcPr>
            <w:tcW w:type="dxa" w:w="804"/>
          </w:tcPr>
          <w:p>
            <w:r/>
            <w:r>
              <w:rPr>
                <w:sz w:val="18"/>
              </w:rPr>
              <w:t>121</w:t>
            </w:r>
          </w:p>
        </w:tc>
        <w:tc>
          <w:tcPr>
            <w:tcW w:type="dxa" w:w="904"/>
          </w:tcPr>
          <w:p>
            <w:r/>
            <w:r>
              <w:rPr>
                <w:sz w:val="18"/>
              </w:rPr>
              <w:t>49%</w:t>
            </w:r>
          </w:p>
        </w:tc>
      </w:tr>
      <w:tr>
        <w:tc>
          <w:tcPr>
            <w:tcW w:type="dxa" w:w="603"/>
            <w:shd w:val="clear" w:color="auto" w:fill="F3F5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05"/>
            <w:shd w:val="clear" w:color="auto" w:fill="F3F5F8"/>
          </w:tcPr>
          <w:p>
            <w:r/>
            <w:r>
              <w:rPr>
                <w:sz w:val="18"/>
              </w:rPr>
              <w:t>19 Aug 2026</w:t>
            </w:r>
          </w:p>
        </w:tc>
        <w:tc>
          <w:tcPr>
            <w:tcW w:type="dxa" w:w="3015"/>
            <w:shd w:val="clear" w:color="auto" w:fill="F3F5F8"/>
          </w:tcPr>
          <w:p>
            <w:r/>
            <w:r>
              <w:rPr>
                <w:sz w:val="18"/>
              </w:rPr>
              <w:t>BCBS 239 lineage with Unity Catalog</w:t>
            </w:r>
          </w:p>
        </w:tc>
        <w:tc>
          <w:tcPr>
            <w:tcW w:type="dxa" w:w="2412"/>
            <w:shd w:val="clear" w:color="auto" w:fill="F3F5F8"/>
          </w:tcPr>
          <w:p>
            <w:r/>
            <w:r>
              <w:rPr>
                <w:sz w:val="18"/>
              </w:rPr>
              <w:t>Mei Tanaka; Laura Mendes (Databricks)</w:t>
            </w:r>
          </w:p>
        </w:tc>
        <w:tc>
          <w:tcPr>
            <w:tcW w:type="dxa" w:w="904"/>
            <w:shd w:val="clear" w:color="auto" w:fill="F3F5F8"/>
          </w:tcPr>
          <w:p>
            <w:r/>
            <w:r>
              <w:rPr>
                <w:sz w:val="18"/>
              </w:rPr>
              <w:t>196</w:t>
            </w:r>
          </w:p>
        </w:tc>
        <w:tc>
          <w:tcPr>
            <w:tcW w:type="dxa" w:w="804"/>
            <w:shd w:val="clear" w:color="auto" w:fill="F3F5F8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904"/>
            <w:shd w:val="clear" w:color="auto" w:fill="F3F5F8"/>
          </w:tcPr>
          <w:p>
            <w:r/>
            <w:r>
              <w:rPr>
                <w:sz w:val="18"/>
              </w:rPr>
              <w:t>45%</w:t>
            </w:r>
          </w:p>
        </w:tc>
      </w:tr>
      <w:tr>
        <w:tc>
          <w:tcPr>
            <w:tcW w:type="dxa" w:w="60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05"/>
          </w:tcPr>
          <w:p>
            <w:r/>
            <w:r>
              <w:rPr>
                <w:sz w:val="18"/>
              </w:rPr>
              <w:t>16 Sep 2026</w:t>
            </w:r>
          </w:p>
        </w:tc>
        <w:tc>
          <w:tcPr>
            <w:tcW w:type="dxa" w:w="3015"/>
          </w:tcPr>
          <w:p>
            <w:r/>
            <w:r>
              <w:rPr>
                <w:sz w:val="18"/>
              </w:rPr>
              <w:t>GenAI on governed banking data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Ravi Shankar; Rachel Adeyemi (Woodgrove Bank, guest)</w:t>
            </w:r>
          </w:p>
        </w:tc>
        <w:tc>
          <w:tcPr>
            <w:tcW w:type="dxa" w:w="904"/>
          </w:tcPr>
          <w:p>
            <w:r/>
            <w:r>
              <w:rPr>
                <w:sz w:val="18"/>
              </w:rPr>
              <w:t>168</w:t>
            </w:r>
          </w:p>
        </w:tc>
        <w:tc>
          <w:tcPr>
            <w:tcW w:type="dxa" w:w="80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904"/>
          </w:tcPr>
          <w:p>
            <w:r/>
            <w:r>
              <w:rPr>
                <w:sz w:val="18"/>
              </w:rPr>
              <w:t>45%</w:t>
            </w:r>
          </w:p>
        </w:tc>
      </w:tr>
      <w:tr>
        <w:tc>
          <w:tcPr>
            <w:tcW w:type="dxa" w:w="603"/>
            <w:shd w:val="clear" w:color="auto" w:fill="F3F5F8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005"/>
            <w:shd w:val="clear" w:color="auto" w:fill="F3F5F8"/>
          </w:tcPr>
          <w:p>
            <w:r/>
          </w:p>
        </w:tc>
        <w:tc>
          <w:tcPr>
            <w:tcW w:type="dxa" w:w="3015"/>
            <w:shd w:val="clear" w:color="auto" w:fill="F3F5F8"/>
          </w:tcPr>
          <w:p>
            <w:r/>
          </w:p>
        </w:tc>
        <w:tc>
          <w:tcPr>
            <w:tcW w:type="dxa" w:w="2412"/>
            <w:shd w:val="clear" w:color="auto" w:fill="F3F5F8"/>
          </w:tcPr>
          <w:p>
            <w:r/>
          </w:p>
        </w:tc>
        <w:tc>
          <w:tcPr>
            <w:tcW w:type="dxa" w:w="904"/>
            <w:shd w:val="clear" w:color="auto" w:fill="F3F5F8"/>
          </w:tcPr>
          <w:p>
            <w:r/>
            <w:r>
              <w:rPr>
                <w:sz w:val="18"/>
              </w:rPr>
              <w:t>612</w:t>
            </w:r>
          </w:p>
        </w:tc>
        <w:tc>
          <w:tcPr>
            <w:tcW w:type="dxa" w:w="804"/>
            <w:shd w:val="clear" w:color="auto" w:fill="F3F5F8"/>
          </w:tcPr>
          <w:p>
            <w:r/>
            <w:r>
              <w:rPr>
                <w:sz w:val="18"/>
              </w:rPr>
              <w:t>284</w:t>
            </w:r>
          </w:p>
        </w:tc>
        <w:tc>
          <w:tcPr>
            <w:tcW w:type="dxa" w:w="904"/>
            <w:shd w:val="clear" w:color="auto" w:fill="F3F5F8"/>
          </w:tcPr>
          <w:p>
            <w:r/>
            <w:r>
              <w:rPr>
                <w:sz w:val="18"/>
              </w:rPr>
              <w:t>46%</w:t>
            </w:r>
          </w:p>
        </w:tc>
      </w:tr>
    </w:tbl>
    <w:p>
      <w:pPr>
        <w:spacing w:after="40"/>
      </w:pPr>
    </w:p>
    <w:p>
      <w:pPr>
        <w:pStyle w:val="Heading1"/>
      </w:pPr>
      <w:r>
        <w:t>Target account attendance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16"/>
        <w:gridCol w:w="1021"/>
        <w:gridCol w:w="3405"/>
        <w:gridCol w:w="3405"/>
      </w:tblGrid>
      <w:tr>
        <w:trPr>
          <w:tblHeader w:val="true"/>
        </w:trPr>
        <w:tc>
          <w:tcPr>
            <w:tcW w:type="dxa" w:w="181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1022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Attendees</w:t>
            </w:r>
          </w:p>
        </w:tc>
        <w:tc>
          <w:tcPr>
            <w:tcW w:type="dxa" w:w="3405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Notable attendee</w:t>
            </w:r>
          </w:p>
        </w:tc>
        <w:tc>
          <w:tcPr>
            <w:tcW w:type="dxa" w:w="3405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Follow-up</w:t>
            </w:r>
          </w:p>
        </w:tc>
      </w:tr>
      <w:tr>
        <w:tc>
          <w:tcPr>
            <w:tcW w:type="dxa" w:w="1816"/>
          </w:tcPr>
          <w:p>
            <w:r/>
            <w:r>
              <w:rPr>
                <w:sz w:val="18"/>
              </w:rPr>
              <w:t>Meridian Bank</w:t>
            </w:r>
          </w:p>
        </w:tc>
        <w:tc>
          <w:tcPr>
            <w:tcW w:type="dxa" w:w="102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05"/>
          </w:tcPr>
          <w:p>
            <w:r/>
            <w:r>
              <w:rPr>
                <w:sz w:val="18"/>
              </w:rPr>
              <w:t>Omar Reyes, Head of Data (S1, S3)</w:t>
            </w:r>
          </w:p>
        </w:tc>
        <w:tc>
          <w:tcPr>
            <w:tcW w:type="dxa" w:w="3405"/>
          </w:tcPr>
          <w:p>
            <w:r/>
            <w:r>
              <w:rPr>
                <w:sz w:val="18"/>
              </w:rPr>
              <w:t>SDR meeting 30 Jul; SQL 4 Aug; OPP-24220 created</w:t>
            </w:r>
          </w:p>
        </w:tc>
      </w:tr>
      <w:tr>
        <w:tc>
          <w:tcPr>
            <w:tcW w:type="dxa" w:w="1816"/>
            <w:shd w:val="clear" w:color="auto" w:fill="F3F5F8"/>
          </w:tcPr>
          <w:p>
            <w:r/>
            <w:r>
              <w:rPr>
                <w:sz w:val="18"/>
              </w:rPr>
              <w:t>Woodgrove Bank</w:t>
            </w:r>
          </w:p>
        </w:tc>
        <w:tc>
          <w:tcPr>
            <w:tcW w:type="dxa" w:w="1022"/>
            <w:shd w:val="clear" w:color="auto" w:fill="F3F5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405"/>
            <w:shd w:val="clear" w:color="auto" w:fill="F3F5F8"/>
          </w:tcPr>
          <w:p>
            <w:r/>
            <w:r>
              <w:rPr>
                <w:sz w:val="18"/>
              </w:rPr>
              <w:t>Catherine Hughes, CDO (S3); Rachel Adeyemi spoke at S3</w:t>
            </w:r>
          </w:p>
        </w:tc>
        <w:tc>
          <w:tcPr>
            <w:tcW w:type="dxa" w:w="3405"/>
            <w:shd w:val="clear" w:color="auto" w:fill="F3F5F8"/>
          </w:tcPr>
          <w:p>
            <w:r/>
            <w:r>
              <w:rPr>
                <w:sz w:val="18"/>
              </w:rPr>
              <w:t>Routed to Marcus Bell - influences OPP-24120</w:t>
            </w:r>
          </w:p>
        </w:tc>
      </w:tr>
      <w:tr>
        <w:tc>
          <w:tcPr>
            <w:tcW w:type="dxa" w:w="1816"/>
          </w:tcPr>
          <w:p>
            <w:r/>
            <w:r>
              <w:rPr>
                <w:sz w:val="18"/>
              </w:rPr>
              <w:t>Litware Insurance</w:t>
            </w:r>
          </w:p>
        </w:tc>
        <w:tc>
          <w:tcPr>
            <w:tcW w:type="dxa" w:w="102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05"/>
          </w:tcPr>
          <w:p>
            <w:r/>
            <w:r>
              <w:rPr>
                <w:sz w:val="18"/>
              </w:rPr>
              <w:t>Underwriting analytics manager</w:t>
            </w:r>
          </w:p>
        </w:tc>
        <w:tc>
          <w:tcPr>
            <w:tcW w:type="dxa" w:w="3405"/>
          </w:tcPr>
          <w:p>
            <w:r/>
            <w:r>
              <w:rPr>
                <w:sz w:val="18"/>
              </w:rPr>
              <w:t>Added to claims eBook nurture</w:t>
            </w:r>
          </w:p>
        </w:tc>
      </w:tr>
      <w:tr>
        <w:tc>
          <w:tcPr>
            <w:tcW w:type="dxa" w:w="1816"/>
            <w:shd w:val="clear" w:color="auto" w:fill="F3F5F8"/>
          </w:tcPr>
          <w:p>
            <w:r/>
            <w:r>
              <w:rPr>
                <w:sz w:val="18"/>
              </w:rPr>
              <w:t>Calder Insurance</w:t>
            </w:r>
          </w:p>
        </w:tc>
        <w:tc>
          <w:tcPr>
            <w:tcW w:type="dxa" w:w="1022"/>
            <w:shd w:val="clear" w:color="auto" w:fill="F3F5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5"/>
            <w:shd w:val="clear" w:color="auto" w:fill="F3F5F8"/>
          </w:tcPr>
          <w:p>
            <w:r/>
            <w:r>
              <w:rPr>
                <w:sz w:val="18"/>
              </w:rPr>
              <w:t>Claims data architect (S2)</w:t>
            </w:r>
          </w:p>
        </w:tc>
        <w:tc>
          <w:tcPr>
            <w:tcW w:type="dxa" w:w="3405"/>
            <w:shd w:val="clear" w:color="auto" w:fill="F3F5F8"/>
          </w:tcPr>
          <w:p>
            <w:r/>
            <w:r>
              <w:rPr>
                <w:sz w:val="18"/>
              </w:rPr>
              <w:t>No response to follow-up; RFP arrived 5 Oct</w:t>
            </w:r>
          </w:p>
        </w:tc>
      </w:tr>
    </w:tbl>
    <w:p>
      <w:pPr>
        <w:spacing w:after="40"/>
      </w:pPr>
    </w:p>
    <w:p>
      <w:pPr>
        <w:pStyle w:val="Heading1"/>
      </w:pPr>
      <w:r>
        <w:t>Poll results and audience questions</w:t>
      </w:r>
    </w:p>
    <w:p>
      <w:pPr>
        <w:pStyle w:val="ListBullet"/>
        <w:spacing w:after="40"/>
      </w:pPr>
      <w:r>
        <w:rPr/>
        <w:t>Session 1 poll: 64% of attendees run two or more data warehouses; 41% plan to retire Teradata or Exadata within 3 years.</w:t>
      </w:r>
    </w:p>
    <w:p>
      <w:pPr>
        <w:pStyle w:val="ListBullet"/>
        <w:spacing w:after="40"/>
      </w:pPr>
      <w:r>
        <w:rPr/>
        <w:t>Session 2 poll: lineage for regulatory reporting is 'mostly manual' for 58% of attendees.</w:t>
      </w:r>
    </w:p>
    <w:p>
      <w:pPr>
        <w:pStyle w:val="ListBullet"/>
        <w:spacing w:after="40"/>
      </w:pPr>
      <w:r>
        <w:rPr/>
        <w:t>Most-asked question: 'How long does a Teradata exit take for a bank with 400 TB?' (asked 11 times).</w:t>
      </w:r>
    </w:p>
    <w:p>
      <w:pPr>
        <w:pStyle w:val="Heading1"/>
      </w:pPr>
      <w:r>
        <w:t>Lessons and next steps</w:t>
      </w:r>
    </w:p>
    <w:p>
      <w:pPr>
        <w:pStyle w:val="ListNumber"/>
        <w:spacing w:after="40"/>
      </w:pPr>
      <w:r>
        <w:rPr/>
        <w:t>Customer speakers lift attendance: session 3 with Woodgrove's Rachel Adeyemi kept 81% of attendees to the end.</w:t>
      </w:r>
    </w:p>
    <w:p>
      <w:pPr>
        <w:pStyle w:val="ListNumber"/>
        <w:spacing w:after="40"/>
      </w:pPr>
      <w:r>
        <w:rPr/>
        <w:t>Publish the Woodgrove POC as an anonymised proof point (approval from Woodgrove marketing requested 22 Sep).</w:t>
      </w:r>
    </w:p>
    <w:p>
      <w:pPr>
        <w:pStyle w:val="ListNumber"/>
        <w:spacing w:after="40"/>
      </w:pPr>
      <w:r>
        <w:rPr/>
        <w:t>Run a fourth session on Guidewire claims data in Q4 for insurance targets (Calder, Litware).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 xml:space="preserve">Fictitious data for testing - Enterprise IQ test corpus  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Visionet  |  BFSI Cloud Data Modernisation Webinar Series - Post-Event Report</w:t>
    </w:r>
    <w:r>
      <w:tab/>
      <w:tab/>
    </w:r>
    <w:r>
      <w:rPr>
        <w:b/>
        <w:color w:val="6B7280"/>
        <w:sz w:val="16"/>
      </w:rPr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eastAsiaTheme="majorEastAsia" w:ascii="Calibri" w:hAnsi="Calibri" w:cs="Calibri"/>
      <w:b/>
      <w:bCs/>
      <w:color w:val="0F7C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Theme="majorEastAsia" w:ascii="Calibri" w:hAnsi="Calibri" w:cs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BFSI Cloud Data Modernisation Webinar Series - Post-Event Report</dc:title>
  <dc:subject>Campaign CMP-2601  |  Three sessions, 22 July - 16 September 2026</dc:subject>
  <dc:creator>Sarah Kim</dc:creator>
  <cp:keywords>Enterprise IQ</cp:keywords>
  <dc:description>Fictitious data for testing - Enterprise IQ test corpus</dc:description>
  <cp:lastModifiedBy>Sarah Kim</cp:lastModifiedBy>
  <cp:revision>1</cp:revision>
  <dcterms:created xsi:type="dcterms:W3CDTF">2026-09-30T09:00:00Z</dcterms:created>
  <dcterms:modified xsi:type="dcterms:W3CDTF">2013-12-23T23:15:00Z</dcterms:modified>
  <cp:category>Internal</cp:category>
</cp:coreProperties>
</file>