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Microsoft - Joint Business Plan FY2027</w:t>
      </w:r>
    </w:p>
    <w:p>
      <w:r>
        <w:rPr>
          <w:color w:val="0F7C90"/>
          <w:sz w:val="23"/>
        </w:rPr>
        <w:t>Microsoft fiscal year July 2026 - June 2027  |  Visionet as Solutions Partner (4 designations)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Visionet owner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Elena Novak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Programme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Microsoft AI Cloud Partner Program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Microsoft owner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Jessica Wu, Partner Development Manager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Governance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Monthly PDM sync; quarterly business review</w:t>
            </w:r>
          </w:p>
        </w:tc>
      </w:tr>
    </w:tbl>
    <w:p>
      <w:pPr>
        <w:spacing w:after="40"/>
      </w:pPr>
    </w:p>
    <w:p>
      <w:pPr>
        <w:pStyle w:val="Heading1"/>
      </w:pPr>
      <w:r>
        <w:t>1. Shared goals for FY2027</w:t>
      </w:r>
    </w:p>
    <w:tbl>
      <w:tblPr>
        <w:tblStyle w:val="TableGrid"/>
        <w:tblW w:type="dxa" w:w="9648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618"/>
        <w:gridCol w:w="3015"/>
        <w:gridCol w:w="3015"/>
      </w:tblGrid>
      <w:tr>
        <w:trPr>
          <w:tblHeader w:val="true"/>
        </w:trPr>
        <w:tc>
          <w:tcPr>
            <w:tcW w:type="dxa" w:w="3618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Goal</w:t>
            </w:r>
          </w:p>
        </w:tc>
        <w:tc>
          <w:tcPr>
            <w:tcW w:type="dxa" w:w="301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FY2027 target</w:t>
            </w:r>
          </w:p>
        </w:tc>
        <w:tc>
          <w:tcPr>
            <w:tcW w:type="dxa" w:w="3015"/>
            <w:shd w:val="clear" w:color="auto" w:fill="1B2A4A"/>
          </w:tcPr>
          <w:p>
            <w:r/>
            <w:r>
              <w:rPr>
                <w:b/>
                <w:color w:val="FFFFFF"/>
                <w:sz w:val="18"/>
              </w:rPr>
              <w:t>Status at 30 Sep 2026</w:t>
            </w:r>
          </w:p>
        </w:tc>
      </w:tr>
      <w:tr>
        <w:tc>
          <w:tcPr>
            <w:tcW w:type="dxa" w:w="3618"/>
          </w:tcPr>
          <w:p>
            <w:r/>
            <w:r>
              <w:rPr>
                <w:sz w:val="18"/>
              </w:rPr>
              <w:t>Co-sell pipeline registered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$12M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$11.62M</w:t>
            </w:r>
          </w:p>
        </w:tc>
      </w:tr>
      <w:tr>
        <w:tc>
          <w:tcPr>
            <w:tcW w:type="dxa" w:w="3618"/>
            <w:shd w:val="clear" w:color="auto" w:fill="F3F5F8"/>
          </w:tcPr>
          <w:p>
            <w:r/>
            <w:r>
              <w:rPr>
                <w:sz w:val="18"/>
              </w:rPr>
              <w:t>Co-sell wins</w:t>
            </w:r>
          </w:p>
        </w:tc>
        <w:tc>
          <w:tcPr>
            <w:tcW w:type="dxa" w:w="3015"/>
            <w:shd w:val="clear" w:color="auto" w:fill="F3F5F8"/>
          </w:tcPr>
          <w:p>
            <w:r/>
            <w:r>
              <w:rPr>
                <w:sz w:val="18"/>
              </w:rPr>
              <w:t>$5M</w:t>
            </w:r>
          </w:p>
        </w:tc>
        <w:tc>
          <w:tcPr>
            <w:tcW w:type="dxa" w:w="3015"/>
            <w:shd w:val="clear" w:color="auto" w:fill="F3F5F8"/>
          </w:tcPr>
          <w:p>
            <w:r/>
            <w:r>
              <w:rPr>
                <w:sz w:val="18"/>
              </w:rPr>
              <w:t>$0</w:t>
            </w:r>
          </w:p>
        </w:tc>
      </w:tr>
      <w:tr>
        <w:tc>
          <w:tcPr>
            <w:tcW w:type="dxa" w:w="3618"/>
          </w:tcPr>
          <w:p>
            <w:r/>
            <w:r>
              <w:rPr>
                <w:sz w:val="18"/>
              </w:rPr>
              <w:t>Azure consumption influenced (ACR)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$3.2M annualised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$1.1M annualised</w:t>
            </w:r>
          </w:p>
        </w:tc>
      </w:tr>
      <w:tr>
        <w:tc>
          <w:tcPr>
            <w:tcW w:type="dxa" w:w="3618"/>
            <w:shd w:val="clear" w:color="auto" w:fill="F3F5F8"/>
          </w:tcPr>
          <w:p>
            <w:r/>
            <w:r>
              <w:rPr>
                <w:sz w:val="18"/>
              </w:rPr>
              <w:t>Specializations</w:t>
            </w:r>
          </w:p>
        </w:tc>
        <w:tc>
          <w:tcPr>
            <w:tcW w:type="dxa" w:w="3015"/>
            <w:shd w:val="clear" w:color="auto" w:fill="F3F5F8"/>
          </w:tcPr>
          <w:p>
            <w:r/>
            <w:r>
              <w:rPr>
                <w:sz w:val="18"/>
              </w:rPr>
              <w:t>Analytics on Azure (renew); AI Platform on Azure (new)</w:t>
            </w:r>
          </w:p>
        </w:tc>
        <w:tc>
          <w:tcPr>
            <w:tcW w:type="dxa" w:w="3015"/>
            <w:shd w:val="clear" w:color="auto" w:fill="F3F5F8"/>
          </w:tcPr>
          <w:p>
            <w:r/>
            <w:r>
              <w:rPr>
                <w:sz w:val="18"/>
              </w:rPr>
              <w:t>1 renewal due Jan 2027; 1 in progress</w:t>
            </w:r>
          </w:p>
        </w:tc>
      </w:tr>
      <w:tr>
        <w:tc>
          <w:tcPr>
            <w:tcW w:type="dxa" w:w="3618"/>
          </w:tcPr>
          <w:p>
            <w:r/>
            <w:r>
              <w:rPr>
                <w:sz w:val="18"/>
              </w:rPr>
              <w:t>Fabric certifications (DP-700)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60 certified</w:t>
            </w:r>
          </w:p>
        </w:tc>
        <w:tc>
          <w:tcPr>
            <w:tcW w:type="dxa" w:w="3015"/>
          </w:tcPr>
          <w:p>
            <w:r/>
            <w:r>
              <w:rPr>
                <w:sz w:val="18"/>
              </w:rPr>
              <w:t>34 certified</w:t>
            </w:r>
          </w:p>
        </w:tc>
      </w:tr>
    </w:tbl>
    <w:p>
      <w:pPr>
        <w:spacing w:after="40"/>
      </w:pPr>
    </w:p>
    <w:p>
      <w:pPr>
        <w:pStyle w:val="Heading1"/>
      </w:pPr>
      <w:r>
        <w:t>2. Solution plays</w:t>
      </w:r>
    </w:p>
    <w:p>
      <w:pPr>
        <w:pStyle w:val="ListBullet"/>
        <w:spacing w:after="40"/>
      </w:pPr>
      <w:r>
        <w:rPr>
          <w:b/>
        </w:rPr>
        <w:t>Migrate and modernize your data estate:</w:t>
      </w:r>
      <w:r>
        <w:rPr/>
        <w:t xml:space="preserve"> Teradata/Exadata exits to Azure Databricks - Woodgrove, Meridian.</w:t>
      </w:r>
    </w:p>
    <w:p>
      <w:pPr>
        <w:pStyle w:val="ListBullet"/>
        <w:spacing w:after="40"/>
      </w:pPr>
      <w:r>
        <w:rPr>
          <w:b/>
        </w:rPr>
        <w:t>Unify your intelligent data and analytics platform (Fabric):</w:t>
      </w:r>
      <w:r>
        <w:rPr/>
        <w:t xml:space="preserve"> Fabrikam, Halcyon, Northwind loyalty.</w:t>
      </w:r>
    </w:p>
    <w:p>
      <w:pPr>
        <w:pStyle w:val="ListBullet"/>
        <w:spacing w:after="40"/>
      </w:pPr>
      <w:r>
        <w:rPr>
          <w:b/>
        </w:rPr>
        <w:t>Innovate with Azure AI:</w:t>
      </w:r>
      <w:r>
        <w:rPr/>
        <w:t xml:space="preserve"> Litware underwriting intake, Lamna GenAI member service.</w:t>
      </w:r>
    </w:p>
    <w:p>
      <w:pPr>
        <w:pStyle w:val="ListBullet"/>
        <w:spacing w:after="40"/>
      </w:pPr>
      <w:r>
        <w:rPr>
          <w:b/>
        </w:rPr>
        <w:t>Migrate and modernize your estate:</w:t>
      </w:r>
      <w:r>
        <w:rPr/>
        <w:t xml:space="preserve"> Lamna claims platform, Alpine Ski House.</w:t>
      </w:r>
    </w:p>
    <w:p>
      <w:pPr>
        <w:pStyle w:val="Heading1"/>
      </w:pPr>
      <w:r>
        <w:t>3. Joint target accounts</w:t>
      </w:r>
    </w:p>
    <w:tbl>
      <w:tblPr>
        <w:tblStyle w:val="TableGrid"/>
        <w:tblW w:type="dxa" w:w="9647"/>
        <w:jc w:val="center"/>
        <w:tblLook w:firstColumn="1" w:firstRow="1" w:lastColumn="0" w:lastRow="0" w:noHBand="0" w:noVBand="1" w:val="04A0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763"/>
        <w:gridCol w:w="2593"/>
        <w:gridCol w:w="933"/>
        <w:gridCol w:w="1141"/>
        <w:gridCol w:w="1556"/>
        <w:gridCol w:w="1659"/>
      </w:tblGrid>
      <w:tr>
        <w:trPr>
          <w:tblHeader w:val="true"/>
        </w:trPr>
        <w:tc>
          <w:tcPr>
            <w:tcW w:type="dxa" w:w="1764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2594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Opportunity</w:t>
            </w:r>
          </w:p>
        </w:tc>
        <w:tc>
          <w:tcPr>
            <w:tcW w:type="dxa" w:w="934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TCV</w:t>
            </w:r>
          </w:p>
        </w:tc>
        <w:tc>
          <w:tcPr>
            <w:tcW w:type="dxa" w:w="1141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556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Referral</w:t>
            </w:r>
          </w:p>
        </w:tc>
        <w:tc>
          <w:tcPr>
            <w:tcW w:type="dxa" w:w="1660"/>
            <w:shd w:val="clear" w:color="auto" w:fill="1B2A4A"/>
          </w:tcPr>
          <w:p>
            <w:r/>
            <w:r>
              <w:rPr>
                <w:b/>
                <w:color w:val="FFFFFF"/>
                <w:sz w:val="17"/>
              </w:rPr>
              <w:t>Funding</w:t>
            </w:r>
          </w:p>
        </w:tc>
      </w:tr>
      <w:tr>
        <w:tc>
          <w:tcPr>
            <w:tcW w:type="dxa" w:w="1764"/>
          </w:tcPr>
          <w:p>
            <w:r/>
            <w:r>
              <w:rPr>
                <w:sz w:val="17"/>
              </w:rPr>
              <w:t>Woodgrove Bank</w:t>
            </w:r>
          </w:p>
        </w:tc>
        <w:tc>
          <w:tcPr>
            <w:tcW w:type="dxa" w:w="2594"/>
          </w:tcPr>
          <w:p>
            <w:r/>
            <w:r>
              <w:rPr>
                <w:sz w:val="17"/>
              </w:rPr>
              <w:t>Enterprise Data Platform Modernisation</w:t>
            </w:r>
          </w:p>
        </w:tc>
        <w:tc>
          <w:tcPr>
            <w:tcW w:type="dxa" w:w="934"/>
          </w:tcPr>
          <w:p>
            <w:r/>
            <w:r>
              <w:rPr>
                <w:sz w:val="17"/>
              </w:rPr>
              <w:t>$3.10M</w:t>
            </w:r>
          </w:p>
        </w:tc>
        <w:tc>
          <w:tcPr>
            <w:tcW w:type="dxa" w:w="1141"/>
          </w:tcPr>
          <w:p>
            <w:r/>
            <w:r>
              <w:rPr>
                <w:sz w:val="17"/>
              </w:rPr>
              <w:t>4 - Proposal</w:t>
            </w:r>
          </w:p>
        </w:tc>
        <w:tc>
          <w:tcPr>
            <w:tcW w:type="dxa" w:w="1556"/>
          </w:tcPr>
          <w:p>
            <w:r/>
            <w:r>
              <w:rPr>
                <w:sz w:val="17"/>
              </w:rPr>
              <w:t>MSRF-3318842; DBX-REG-2274</w:t>
            </w:r>
          </w:p>
        </w:tc>
        <w:tc>
          <w:tcPr>
            <w:tcW w:type="dxa" w:w="1660"/>
          </w:tcPr>
          <w:p>
            <w:r/>
            <w:r>
              <w:rPr>
                <w:sz w:val="17"/>
              </w:rPr>
              <w:t>ECIF approved ($120K)</w:t>
            </w:r>
          </w:p>
        </w:tc>
      </w:tr>
      <w:tr>
        <w:tc>
          <w:tcPr>
            <w:tcW w:type="dxa" w:w="1764"/>
            <w:shd w:val="clear" w:color="auto" w:fill="F3F5F8"/>
          </w:tcPr>
          <w:p>
            <w:r/>
            <w:r>
              <w:rPr>
                <w:sz w:val="17"/>
              </w:rPr>
              <w:t>Meridian Bank</w:t>
            </w:r>
          </w:p>
        </w:tc>
        <w:tc>
          <w:tcPr>
            <w:tcW w:type="dxa" w:w="2594"/>
            <w:shd w:val="clear" w:color="auto" w:fill="F3F5F8"/>
          </w:tcPr>
          <w:p>
            <w:r/>
            <w:r>
              <w:rPr>
                <w:sz w:val="17"/>
              </w:rPr>
              <w:t>Cloud Data Platform</w:t>
            </w:r>
          </w:p>
        </w:tc>
        <w:tc>
          <w:tcPr>
            <w:tcW w:type="dxa" w:w="934"/>
            <w:shd w:val="clear" w:color="auto" w:fill="F3F5F8"/>
          </w:tcPr>
          <w:p>
            <w:r/>
            <w:r>
              <w:rPr>
                <w:sz w:val="17"/>
              </w:rPr>
              <w:t>$2.40M</w:t>
            </w:r>
          </w:p>
        </w:tc>
        <w:tc>
          <w:tcPr>
            <w:tcW w:type="dxa" w:w="1141"/>
            <w:shd w:val="clear" w:color="auto" w:fill="F3F5F8"/>
          </w:tcPr>
          <w:p>
            <w:r/>
            <w:r>
              <w:rPr>
                <w:sz w:val="17"/>
              </w:rPr>
              <w:t>4 - Proposal</w:t>
            </w:r>
          </w:p>
        </w:tc>
        <w:tc>
          <w:tcPr>
            <w:tcW w:type="dxa" w:w="1556"/>
            <w:shd w:val="clear" w:color="auto" w:fill="F3F5F8"/>
          </w:tcPr>
          <w:p>
            <w:r/>
            <w:r>
              <w:rPr>
                <w:sz w:val="17"/>
              </w:rPr>
              <w:t>MSRF-3341107</w:t>
            </w:r>
          </w:p>
        </w:tc>
        <w:tc>
          <w:tcPr>
            <w:tcW w:type="dxa" w:w="1660"/>
            <w:shd w:val="clear" w:color="auto" w:fill="F3F5F8"/>
          </w:tcPr>
          <w:p>
            <w:r/>
            <w:r>
              <w:rPr>
                <w:sz w:val="17"/>
              </w:rPr>
              <w:t>Azure Innovate applied ($150K)</w:t>
            </w:r>
          </w:p>
        </w:tc>
      </w:tr>
      <w:tr>
        <w:tc>
          <w:tcPr>
            <w:tcW w:type="dxa" w:w="1764"/>
          </w:tcPr>
          <w:p>
            <w:r/>
            <w:r>
              <w:rPr>
                <w:sz w:val="17"/>
              </w:rPr>
              <w:t>Lamna Healthcare</w:t>
            </w:r>
          </w:p>
        </w:tc>
        <w:tc>
          <w:tcPr>
            <w:tcW w:type="dxa" w:w="2594"/>
          </w:tcPr>
          <w:p>
            <w:r/>
            <w:r>
              <w:rPr>
                <w:sz w:val="17"/>
              </w:rPr>
              <w:t>Claims Platform Azure Migration</w:t>
            </w:r>
          </w:p>
        </w:tc>
        <w:tc>
          <w:tcPr>
            <w:tcW w:type="dxa" w:w="934"/>
          </w:tcPr>
          <w:p>
            <w:r/>
            <w:r>
              <w:rPr>
                <w:sz w:val="17"/>
              </w:rPr>
              <w:t>$1.50M</w:t>
            </w:r>
          </w:p>
        </w:tc>
        <w:tc>
          <w:tcPr>
            <w:tcW w:type="dxa" w:w="1141"/>
          </w:tcPr>
          <w:p>
            <w:r/>
            <w:r>
              <w:rPr>
                <w:sz w:val="17"/>
              </w:rPr>
              <w:t>4 - Proposal</w:t>
            </w:r>
          </w:p>
        </w:tc>
        <w:tc>
          <w:tcPr>
            <w:tcW w:type="dxa" w:w="1556"/>
          </w:tcPr>
          <w:p>
            <w:r/>
            <w:r>
              <w:rPr>
                <w:sz w:val="17"/>
              </w:rPr>
              <w:t>MSRF-3329415</w:t>
            </w:r>
          </w:p>
        </w:tc>
        <w:tc>
          <w:tcPr>
            <w:tcW w:type="dxa" w:w="1660"/>
          </w:tcPr>
          <w:p>
            <w:r/>
            <w:r>
              <w:rPr>
                <w:sz w:val="17"/>
              </w:rPr>
              <w:t>AMM approved ($95K)</w:t>
            </w:r>
          </w:p>
        </w:tc>
      </w:tr>
      <w:tr>
        <w:tc>
          <w:tcPr>
            <w:tcW w:type="dxa" w:w="1764"/>
            <w:shd w:val="clear" w:color="auto" w:fill="F3F5F8"/>
          </w:tcPr>
          <w:p>
            <w:r/>
            <w:r>
              <w:rPr>
                <w:sz w:val="17"/>
              </w:rPr>
              <w:t>Fabrikam Health</w:t>
            </w:r>
          </w:p>
        </w:tc>
        <w:tc>
          <w:tcPr>
            <w:tcW w:type="dxa" w:w="2594"/>
            <w:shd w:val="clear" w:color="auto" w:fill="F3F5F8"/>
          </w:tcPr>
          <w:p>
            <w:r/>
            <w:r>
              <w:rPr>
                <w:sz w:val="17"/>
              </w:rPr>
              <w:t>Patient Data Platform Phase 2 - Population Health</w:t>
            </w:r>
          </w:p>
        </w:tc>
        <w:tc>
          <w:tcPr>
            <w:tcW w:type="dxa" w:w="934"/>
            <w:shd w:val="clear" w:color="auto" w:fill="F3F5F8"/>
          </w:tcPr>
          <w:p>
            <w:r/>
            <w:r>
              <w:rPr>
                <w:sz w:val="17"/>
              </w:rPr>
              <w:t>$1.25M</w:t>
            </w:r>
          </w:p>
        </w:tc>
        <w:tc>
          <w:tcPr>
            <w:tcW w:type="dxa" w:w="1141"/>
            <w:shd w:val="clear" w:color="auto" w:fill="F3F5F8"/>
          </w:tcPr>
          <w:p>
            <w:r/>
            <w:r>
              <w:rPr>
                <w:sz w:val="17"/>
              </w:rPr>
              <w:t>3 - Solution</w:t>
            </w:r>
          </w:p>
        </w:tc>
        <w:tc>
          <w:tcPr>
            <w:tcW w:type="dxa" w:w="1556"/>
            <w:shd w:val="clear" w:color="auto" w:fill="F3F5F8"/>
          </w:tcPr>
          <w:p>
            <w:r/>
            <w:r>
              <w:rPr>
                <w:sz w:val="17"/>
              </w:rPr>
              <w:t>MSRF-3350288</w:t>
            </w:r>
          </w:p>
        </w:tc>
        <w:tc>
          <w:tcPr>
            <w:tcW w:type="dxa" w:w="1660"/>
            <w:shd w:val="clear" w:color="auto" w:fill="F3F5F8"/>
          </w:tcPr>
          <w:p>
            <w:r/>
            <w:r>
              <w:rPr>
                <w:sz w:val="17"/>
              </w:rPr>
              <w:t>ECIF applied ($60K)</w:t>
            </w:r>
          </w:p>
        </w:tc>
      </w:tr>
      <w:tr>
        <w:tc>
          <w:tcPr>
            <w:tcW w:type="dxa" w:w="1764"/>
          </w:tcPr>
          <w:p>
            <w:r/>
            <w:r>
              <w:rPr>
                <w:sz w:val="17"/>
              </w:rPr>
              <w:t>Woodgrove Bank</w:t>
            </w:r>
          </w:p>
        </w:tc>
        <w:tc>
          <w:tcPr>
            <w:tcW w:type="dxa" w:w="2594"/>
          </w:tcPr>
          <w:p>
            <w:r/>
            <w:r>
              <w:rPr>
                <w:sz w:val="17"/>
              </w:rPr>
              <w:t>Managed SOC (MXDR)</w:t>
            </w:r>
          </w:p>
        </w:tc>
        <w:tc>
          <w:tcPr>
            <w:tcW w:type="dxa" w:w="934"/>
          </w:tcPr>
          <w:p>
            <w:r/>
            <w:r>
              <w:rPr>
                <w:sz w:val="17"/>
              </w:rPr>
              <w:t>$900,000</w:t>
            </w:r>
          </w:p>
        </w:tc>
        <w:tc>
          <w:tcPr>
            <w:tcW w:type="dxa" w:w="1141"/>
          </w:tcPr>
          <w:p>
            <w:r/>
            <w:r>
              <w:rPr>
                <w:sz w:val="17"/>
              </w:rPr>
              <w:t>2 - Discover</w:t>
            </w:r>
          </w:p>
        </w:tc>
        <w:tc>
          <w:tcPr>
            <w:tcW w:type="dxa" w:w="1556"/>
          </w:tcPr>
          <w:p>
            <w:r/>
            <w:r>
              <w:rPr>
                <w:sz w:val="17"/>
              </w:rPr>
              <w:t>Not registered</w:t>
            </w:r>
          </w:p>
        </w:tc>
        <w:tc>
          <w:tcPr>
            <w:tcW w:type="dxa" w:w="1660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764"/>
            <w:shd w:val="clear" w:color="auto" w:fill="F3F5F8"/>
          </w:tcPr>
          <w:p>
            <w:r/>
            <w:r>
              <w:rPr>
                <w:sz w:val="17"/>
              </w:rPr>
              <w:t>Litware Insurance</w:t>
            </w:r>
          </w:p>
        </w:tc>
        <w:tc>
          <w:tcPr>
            <w:tcW w:type="dxa" w:w="2594"/>
            <w:shd w:val="clear" w:color="auto" w:fill="F3F5F8"/>
          </w:tcPr>
          <w:p>
            <w:r/>
            <w:r>
              <w:rPr>
                <w:sz w:val="17"/>
              </w:rPr>
              <w:t>Intelligent Underwriting Intake</w:t>
            </w:r>
          </w:p>
        </w:tc>
        <w:tc>
          <w:tcPr>
            <w:tcW w:type="dxa" w:w="934"/>
            <w:shd w:val="clear" w:color="auto" w:fill="F3F5F8"/>
          </w:tcPr>
          <w:p>
            <w:r/>
            <w:r>
              <w:rPr>
                <w:sz w:val="17"/>
              </w:rPr>
              <w:t>$780,000</w:t>
            </w:r>
          </w:p>
        </w:tc>
        <w:tc>
          <w:tcPr>
            <w:tcW w:type="dxa" w:w="1141"/>
            <w:shd w:val="clear" w:color="auto" w:fill="F3F5F8"/>
          </w:tcPr>
          <w:p>
            <w:r/>
            <w:r>
              <w:rPr>
                <w:sz w:val="17"/>
              </w:rPr>
              <w:t>3 - Solution</w:t>
            </w:r>
          </w:p>
        </w:tc>
        <w:tc>
          <w:tcPr>
            <w:tcW w:type="dxa" w:w="1556"/>
            <w:shd w:val="clear" w:color="auto" w:fill="F3F5F8"/>
          </w:tcPr>
          <w:p>
            <w:r/>
            <w:r>
              <w:rPr>
                <w:sz w:val="17"/>
              </w:rPr>
              <w:t>MSRF-3360031</w:t>
            </w:r>
          </w:p>
        </w:tc>
        <w:tc>
          <w:tcPr>
            <w:tcW w:type="dxa" w:w="1660"/>
            <w:shd w:val="clear" w:color="auto" w:fill="F3F5F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764"/>
          </w:tcPr>
          <w:p>
            <w:r/>
            <w:r>
              <w:rPr>
                <w:sz w:val="17"/>
              </w:rPr>
              <w:t>Northwind Traders</w:t>
            </w:r>
          </w:p>
        </w:tc>
        <w:tc>
          <w:tcPr>
            <w:tcW w:type="dxa" w:w="2594"/>
          </w:tcPr>
          <w:p>
            <w:r/>
            <w:r>
              <w:rPr>
                <w:sz w:val="17"/>
              </w:rPr>
              <w:t>Loyalty Analytics Platform</w:t>
            </w:r>
          </w:p>
        </w:tc>
        <w:tc>
          <w:tcPr>
            <w:tcW w:type="dxa" w:w="934"/>
          </w:tcPr>
          <w:p>
            <w:r/>
            <w:r>
              <w:rPr>
                <w:sz w:val="17"/>
              </w:rPr>
              <w:t>$640,000</w:t>
            </w:r>
          </w:p>
        </w:tc>
        <w:tc>
          <w:tcPr>
            <w:tcW w:type="dxa" w:w="1141"/>
          </w:tcPr>
          <w:p>
            <w:r/>
            <w:r>
              <w:rPr>
                <w:sz w:val="17"/>
              </w:rPr>
              <w:t>3 - Solution</w:t>
            </w:r>
          </w:p>
        </w:tc>
        <w:tc>
          <w:tcPr>
            <w:tcW w:type="dxa" w:w="1556"/>
          </w:tcPr>
          <w:p>
            <w:r/>
            <w:r>
              <w:rPr>
                <w:sz w:val="17"/>
              </w:rPr>
              <w:t>MSRF-3312090</w:t>
            </w:r>
          </w:p>
        </w:tc>
        <w:tc>
          <w:tcPr>
            <w:tcW w:type="dxa" w:w="1660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764"/>
            <w:shd w:val="clear" w:color="auto" w:fill="F3F5F8"/>
          </w:tcPr>
          <w:p>
            <w:r/>
            <w:r>
              <w:rPr>
                <w:sz w:val="17"/>
              </w:rPr>
              <w:t>Lamna Healthcare</w:t>
            </w:r>
          </w:p>
        </w:tc>
        <w:tc>
          <w:tcPr>
            <w:tcW w:type="dxa" w:w="2594"/>
            <w:shd w:val="clear" w:color="auto" w:fill="F3F5F8"/>
          </w:tcPr>
          <w:p>
            <w:r/>
            <w:r>
              <w:rPr>
                <w:sz w:val="17"/>
              </w:rPr>
              <w:t>GenAI Member Service Copilot</w:t>
            </w:r>
          </w:p>
        </w:tc>
        <w:tc>
          <w:tcPr>
            <w:tcW w:type="dxa" w:w="934"/>
            <w:shd w:val="clear" w:color="auto" w:fill="F3F5F8"/>
          </w:tcPr>
          <w:p>
            <w:r/>
            <w:r>
              <w:rPr>
                <w:sz w:val="17"/>
              </w:rPr>
              <w:t>$600,000</w:t>
            </w:r>
          </w:p>
        </w:tc>
        <w:tc>
          <w:tcPr>
            <w:tcW w:type="dxa" w:w="1141"/>
            <w:shd w:val="clear" w:color="auto" w:fill="F3F5F8"/>
          </w:tcPr>
          <w:p>
            <w:r/>
            <w:r>
              <w:rPr>
                <w:sz w:val="17"/>
              </w:rPr>
              <w:t>2 - Discover</w:t>
            </w:r>
          </w:p>
        </w:tc>
        <w:tc>
          <w:tcPr>
            <w:tcW w:type="dxa" w:w="1556"/>
            <w:shd w:val="clear" w:color="auto" w:fill="F3F5F8"/>
          </w:tcPr>
          <w:p>
            <w:r/>
            <w:r>
              <w:rPr>
                <w:sz w:val="17"/>
              </w:rPr>
              <w:t>Not registered</w:t>
            </w:r>
          </w:p>
        </w:tc>
        <w:tc>
          <w:tcPr>
            <w:tcW w:type="dxa" w:w="1660"/>
            <w:shd w:val="clear" w:color="auto" w:fill="F3F5F8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764"/>
          </w:tcPr>
          <w:p>
            <w:r/>
            <w:r>
              <w:rPr>
                <w:sz w:val="17"/>
              </w:rPr>
              <w:t>Halcyon Health</w:t>
            </w:r>
          </w:p>
        </w:tc>
        <w:tc>
          <w:tcPr>
            <w:tcW w:type="dxa" w:w="2594"/>
          </w:tcPr>
          <w:p>
            <w:r/>
            <w:r>
              <w:rPr>
                <w:sz w:val="17"/>
              </w:rPr>
              <w:t>Claims Data Mart Fabric Migration (CR-0219)</w:t>
            </w:r>
          </w:p>
        </w:tc>
        <w:tc>
          <w:tcPr>
            <w:tcW w:type="dxa" w:w="934"/>
          </w:tcPr>
          <w:p>
            <w:r/>
            <w:r>
              <w:rPr>
                <w:sz w:val="17"/>
              </w:rPr>
              <w:t>$450,000</w:t>
            </w:r>
          </w:p>
        </w:tc>
        <w:tc>
          <w:tcPr>
            <w:tcW w:type="dxa" w:w="1141"/>
          </w:tcPr>
          <w:p>
            <w:r/>
            <w:r>
              <w:rPr>
                <w:sz w:val="17"/>
              </w:rPr>
              <w:t>1 - Qualify</w:t>
            </w:r>
          </w:p>
        </w:tc>
        <w:tc>
          <w:tcPr>
            <w:tcW w:type="dxa" w:w="1556"/>
          </w:tcPr>
          <w:p>
            <w:r/>
            <w:r>
              <w:rPr>
                <w:sz w:val="17"/>
              </w:rPr>
              <w:t>Not registered</w:t>
            </w:r>
          </w:p>
        </w:tc>
        <w:tc>
          <w:tcPr>
            <w:tcW w:type="dxa" w:w="1660"/>
          </w:tcPr>
          <w:p>
            <w:r/>
            <w:r>
              <w:rPr>
                <w:sz w:val="17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</w:pPr>
      <w:r>
        <w:t>4. Microsoft field priorities we align to</w:t>
      </w:r>
    </w:p>
    <w:p>
      <w:pPr>
        <w:pStyle w:val="ListBullet"/>
        <w:spacing w:after="40"/>
      </w:pPr>
      <w:r>
        <w:rPr/>
        <w:t>Microsoft's regional banking team prioritises warehouse modernisation in the Southeast (Meridian Bank).</w:t>
      </w:r>
    </w:p>
    <w:p>
      <w:pPr>
        <w:pStyle w:val="ListBullet"/>
        <w:spacing w:after="40"/>
      </w:pPr>
      <w:r>
        <w:rPr/>
        <w:t>Healthcare field team is pushing Fabric for payers ahead of CMS interoperability deadlines.</w:t>
      </w:r>
    </w:p>
    <w:p>
      <w:pPr>
        <w:pStyle w:val="ListBullet"/>
        <w:spacing w:after="40"/>
      </w:pPr>
      <w:r>
        <w:rPr/>
        <w:t>Microsoft wants named Fabric references: Halcyon Health is the best candidate (referenceable).</w:t>
      </w:r>
    </w:p>
    <w:p>
      <w:pPr>
        <w:pStyle w:val="Heading1"/>
      </w:pPr>
      <w:r>
        <w:t>5. Risks</w:t>
      </w:r>
    </w:p>
    <w:p>
      <w:pPr>
        <w:pStyle w:val="ListBullet"/>
        <w:spacing w:after="40"/>
      </w:pPr>
      <w:r>
        <w:rPr/>
        <w:t>Northwind Loyalty Analytics referral (MSRF-3312090) expires 20 Oct with no activity since August.</w:t>
      </w:r>
    </w:p>
    <w:p>
      <w:pPr>
        <w:pStyle w:val="ListBullet"/>
        <w:spacing w:after="40"/>
      </w:pPr>
      <w:r>
        <w:rPr/>
        <w:t>Analytics on Azure specialization renewal (Jan 2027) needs two new customer evidence cases - Woodgrove POC and Halcyon CR-0219 are candidates.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Microsoft - Joint Business Plan FY2027</w:t>
    </w:r>
    <w:r>
      <w:tab/>
      <w:tab/>
    </w:r>
    <w:r>
      <w:rPr>
        <w:b/>
        <w:color w:val="C0392B"/>
        <w:sz w:val="16"/>
      </w:rP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- Joint Business Plan FY2027</dc:title>
  <dc:subject>Microsoft fiscal year July 2026 - June 2027  |  Visionet as Solutions Partner (4 designations)</dc:subject>
  <dc:creator>Elena Novak</dc:creator>
  <cp:keywords>Enterprise IQ</cp:keywords>
  <dc:description>Fictitious data for testing - Enterprise IQ test corpus</dc:description>
  <cp:lastModifiedBy>Elena Novak</cp:lastModifiedBy>
  <cp:revision>1</cp:revision>
  <dcterms:created xsi:type="dcterms:W3CDTF">2026-08-21T09:00:00Z</dcterms:created>
  <dcterms:modified xsi:type="dcterms:W3CDTF">2013-12-23T23:15:00Z</dcterms:modified>
  <cp:category>Confidential</cp:category>
</cp:coreProperties>
</file>