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Northwind Store Modernisation - Programme Charter</w:t>
      </w:r>
    </w:p>
    <w:p>
      <w:r>
        <w:rPr>
          <w:color w:val="0F7C90"/>
          <w:sz w:val="23"/>
        </w:rPr>
        <w:t>PRG-2001  |  Version 2.3 (re-baselined after change order CO-02)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Client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Northwind Traders (ACC-1001)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Programme manager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Kavya Iyer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Client sponsor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Daniel Okafor, VP Technology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Contract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Atlas fixed price $3.6M + CO-01 $0.75M + CO-02 $0.45M; AMS CTR-7020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Visionet accountable executive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Arjun Mehta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Approved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16 March 2026</w:t>
            </w:r>
          </w:p>
        </w:tc>
      </w:tr>
    </w:tbl>
    <w:p>
      <w:pPr>
        <w:spacing w:after="40"/>
      </w:pPr>
    </w:p>
    <w:p>
      <w:pPr>
        <w:pStyle w:val="Heading1"/>
      </w:pPr>
      <w:r>
        <w:t>1. Objectives</w:t>
      </w:r>
    </w:p>
    <w:p>
      <w:pPr>
        <w:pStyle w:val="ListNumber"/>
        <w:spacing w:after="40"/>
      </w:pPr>
      <w:r>
        <w:rPr/>
        <w:t>Replace legacy POS in all 640 stores with a cloud POS integrated with loyalty, by December 2026.</w:t>
      </w:r>
    </w:p>
    <w:p>
      <w:pPr>
        <w:pStyle w:val="ListNumber"/>
        <w:spacing w:after="40"/>
      </w:pPr>
      <w:r>
        <w:rPr/>
        <w:t>Cut average checkout time by 15% and POS-related store incidents by 30%.</w:t>
      </w:r>
    </w:p>
    <w:p>
      <w:pPr>
        <w:pStyle w:val="ListNumber"/>
        <w:spacing w:after="40"/>
      </w:pPr>
      <w:r>
        <w:rPr/>
        <w:t>Run store and merchandising applications under Visionet AMS at 97.5% SLA or better.</w:t>
      </w:r>
    </w:p>
    <w:p>
      <w:pPr>
        <w:pStyle w:val="Heading1"/>
      </w:pPr>
      <w:r>
        <w:t>2. Scope</w:t>
      </w:r>
    </w:p>
    <w:tbl>
      <w:tblPr>
        <w:tblStyle w:val="TableGrid"/>
        <w:tblW w:type="dxa" w:w="9648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86"/>
        <w:gridCol w:w="1286"/>
        <w:gridCol w:w="1929"/>
        <w:gridCol w:w="5145"/>
      </w:tblGrid>
      <w:tr>
        <w:trPr>
          <w:tblHeader w:val="true"/>
        </w:trPr>
        <w:tc>
          <w:tcPr>
            <w:tcW w:type="dxa" w:w="128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128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Stores</w:t>
            </w:r>
          </w:p>
        </w:tc>
        <w:tc>
          <w:tcPr>
            <w:tcW w:type="dxa" w:w="1930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Planned go-live</w:t>
            </w:r>
          </w:p>
        </w:tc>
        <w:tc>
          <w:tcPr>
            <w:tcW w:type="dxa" w:w="514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Scope notes</w:t>
            </w:r>
          </w:p>
        </w:tc>
      </w:tr>
      <w:tr>
        <w:tc>
          <w:tcPr>
            <w:tcW w:type="dxa" w:w="1286"/>
          </w:tcPr>
          <w:p>
            <w:r/>
            <w:r>
              <w:rPr>
                <w:sz w:val="18"/>
              </w:rPr>
              <w:t>Wave 1</w:t>
            </w:r>
          </w:p>
        </w:tc>
        <w:tc>
          <w:tcPr>
            <w:tcW w:type="dxa" w:w="1286"/>
          </w:tcPr>
          <w:p>
            <w:r/>
            <w:r>
              <w:rPr>
                <w:sz w:val="18"/>
              </w:rPr>
              <w:t>208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June 2026</w:t>
            </w:r>
          </w:p>
        </w:tc>
        <w:tc>
          <w:tcPr>
            <w:tcW w:type="dxa" w:w="5146"/>
          </w:tcPr>
          <w:p>
            <w:r/>
            <w:r>
              <w:rPr>
                <w:sz w:val="18"/>
              </w:rPr>
              <w:t>Midwest stores; pilot of 12 stores in April</w:t>
            </w:r>
          </w:p>
        </w:tc>
      </w:tr>
      <w:tr>
        <w:tc>
          <w:tcPr>
            <w:tcW w:type="dxa" w:w="1286"/>
            <w:shd w:val="clear" w:color="auto" w:fill="F3F5F8"/>
          </w:tcPr>
          <w:p>
            <w:r/>
            <w:r>
              <w:rPr>
                <w:sz w:val="18"/>
              </w:rPr>
              <w:t>Wave 2</w:t>
            </w:r>
          </w:p>
        </w:tc>
        <w:tc>
          <w:tcPr>
            <w:tcW w:type="dxa" w:w="1286"/>
            <w:shd w:val="clear" w:color="auto" w:fill="F3F5F8"/>
          </w:tcPr>
          <w:p>
            <w:r/>
            <w:r>
              <w:rPr>
                <w:sz w:val="18"/>
              </w:rPr>
              <w:t>212</w:t>
            </w:r>
          </w:p>
        </w:tc>
        <w:tc>
          <w:tcPr>
            <w:tcW w:type="dxa" w:w="1930"/>
            <w:shd w:val="clear" w:color="auto" w:fill="F3F5F8"/>
          </w:tcPr>
          <w:p>
            <w:r/>
            <w:r>
              <w:rPr>
                <w:sz w:val="18"/>
              </w:rPr>
              <w:t>September 2026</w:t>
            </w:r>
          </w:p>
        </w:tc>
        <w:tc>
          <w:tcPr>
            <w:tcW w:type="dxa" w:w="5146"/>
            <w:shd w:val="clear" w:color="auto" w:fill="F3F5F8"/>
          </w:tcPr>
          <w:p>
            <w:r/>
            <w:r>
              <w:rPr>
                <w:sz w:val="18"/>
              </w:rPr>
              <w:t>South and East; includes loyalty migration (CO-01)</w:t>
            </w:r>
          </w:p>
        </w:tc>
      </w:tr>
      <w:tr>
        <w:tc>
          <w:tcPr>
            <w:tcW w:type="dxa" w:w="1286"/>
          </w:tcPr>
          <w:p>
            <w:r/>
            <w:r>
              <w:rPr>
                <w:sz w:val="18"/>
              </w:rPr>
              <w:t>Wave 3</w:t>
            </w:r>
          </w:p>
        </w:tc>
        <w:tc>
          <w:tcPr>
            <w:tcW w:type="dxa" w:w="1286"/>
          </w:tcPr>
          <w:p>
            <w:r/>
            <w:r>
              <w:rPr>
                <w:sz w:val="18"/>
              </w:rPr>
              <w:t>220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December 2026</w:t>
            </w:r>
          </w:p>
        </w:tc>
        <w:tc>
          <w:tcPr>
            <w:tcW w:type="dxa" w:w="5146"/>
          </w:tcPr>
          <w:p>
            <w:r/>
            <w:r>
              <w:rPr>
                <w:sz w:val="18"/>
              </w:rPr>
              <w:t>West; self-checkout lanes (CO-02)</w:t>
            </w:r>
          </w:p>
        </w:tc>
      </w:tr>
    </w:tbl>
    <w:p>
      <w:pPr>
        <w:spacing w:after="40"/>
      </w:pPr>
    </w:p>
    <w:p>
      <w:pPr>
        <w:pStyle w:val="Heading1"/>
      </w:pPr>
      <w:r>
        <w:t>3. Governance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16"/>
        <w:gridCol w:w="1475"/>
        <w:gridCol w:w="1816"/>
        <w:gridCol w:w="4540"/>
      </w:tblGrid>
      <w:tr>
        <w:trPr>
          <w:tblHeader w:val="true"/>
        </w:trPr>
        <w:tc>
          <w:tcPr>
            <w:tcW w:type="dxa" w:w="181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Forum</w:t>
            </w:r>
          </w:p>
        </w:tc>
        <w:tc>
          <w:tcPr>
            <w:tcW w:type="dxa" w:w="147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181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Chair</w:t>
            </w:r>
          </w:p>
        </w:tc>
        <w:tc>
          <w:tcPr>
            <w:tcW w:type="dxa" w:w="4540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Members</w:t>
            </w:r>
          </w:p>
        </w:tc>
      </w:tr>
      <w:tr>
        <w:tc>
          <w:tcPr>
            <w:tcW w:type="dxa" w:w="1816"/>
          </w:tcPr>
          <w:p>
            <w:r/>
            <w:r>
              <w:rPr>
                <w:sz w:val="18"/>
              </w:rPr>
              <w:t>Steering committee</w:t>
            </w:r>
          </w:p>
        </w:tc>
        <w:tc>
          <w:tcPr>
            <w:tcW w:type="dxa" w:w="1476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1816"/>
          </w:tcPr>
          <w:p>
            <w:r/>
            <w:r>
              <w:rPr>
                <w:sz w:val="18"/>
              </w:rPr>
              <w:t>Lena Fischer (CIO)</w:t>
            </w:r>
          </w:p>
        </w:tc>
        <w:tc>
          <w:tcPr>
            <w:tcW w:type="dxa" w:w="4540"/>
          </w:tcPr>
          <w:p>
            <w:r/>
            <w:r>
              <w:rPr>
                <w:sz w:val="18"/>
              </w:rPr>
              <w:t>Daniel Okafor, Mark Ellison, Arjun Mehta, Priya Raman</w:t>
            </w:r>
          </w:p>
        </w:tc>
      </w:tr>
      <w:tr>
        <w:tc>
          <w:tcPr>
            <w:tcW w:type="dxa" w:w="1816"/>
            <w:shd w:val="clear" w:color="auto" w:fill="F3F5F8"/>
          </w:tcPr>
          <w:p>
            <w:r/>
            <w:r>
              <w:rPr>
                <w:sz w:val="18"/>
              </w:rPr>
              <w:t>Programme board</w:t>
            </w:r>
          </w:p>
        </w:tc>
        <w:tc>
          <w:tcPr>
            <w:tcW w:type="dxa" w:w="1476"/>
            <w:shd w:val="clear" w:color="auto" w:fill="F3F5F8"/>
          </w:tcPr>
          <w:p>
            <w:r/>
            <w:r>
              <w:rPr>
                <w:sz w:val="18"/>
              </w:rPr>
              <w:t>Weekly</w:t>
            </w:r>
          </w:p>
        </w:tc>
        <w:tc>
          <w:tcPr>
            <w:tcW w:type="dxa" w:w="1816"/>
            <w:shd w:val="clear" w:color="auto" w:fill="F3F5F8"/>
          </w:tcPr>
          <w:p>
            <w:r/>
            <w:r>
              <w:rPr>
                <w:sz w:val="18"/>
              </w:rPr>
              <w:t>Daniel Okafor</w:t>
            </w:r>
          </w:p>
        </w:tc>
        <w:tc>
          <w:tcPr>
            <w:tcW w:type="dxa" w:w="4540"/>
            <w:shd w:val="clear" w:color="auto" w:fill="F3F5F8"/>
          </w:tcPr>
          <w:p>
            <w:r/>
            <w:r>
              <w:rPr>
                <w:sz w:val="18"/>
              </w:rPr>
              <w:t>Mark Ellison, Kavya Iyer, store ops lead</w:t>
            </w:r>
          </w:p>
        </w:tc>
      </w:tr>
      <w:tr>
        <w:tc>
          <w:tcPr>
            <w:tcW w:type="dxa" w:w="1816"/>
          </w:tcPr>
          <w:p>
            <w:r/>
            <w:r>
              <w:rPr>
                <w:sz w:val="18"/>
              </w:rPr>
              <w:t>Weekly sync</w:t>
            </w:r>
          </w:p>
        </w:tc>
        <w:tc>
          <w:tcPr>
            <w:tcW w:type="dxa" w:w="1476"/>
          </w:tcPr>
          <w:p>
            <w:r/>
            <w:r>
              <w:rPr>
                <w:sz w:val="18"/>
              </w:rPr>
              <w:t>Weekly (Thursday)</w:t>
            </w:r>
          </w:p>
        </w:tc>
        <w:tc>
          <w:tcPr>
            <w:tcW w:type="dxa" w:w="1816"/>
          </w:tcPr>
          <w:p>
            <w:r/>
            <w:r>
              <w:rPr>
                <w:sz w:val="18"/>
              </w:rPr>
              <w:t>Priya Raman</w:t>
            </w:r>
          </w:p>
        </w:tc>
        <w:tc>
          <w:tcPr>
            <w:tcW w:type="dxa" w:w="4540"/>
          </w:tcPr>
          <w:p>
            <w:r/>
            <w:r>
              <w:rPr>
                <w:sz w:val="18"/>
              </w:rPr>
              <w:t>Client IT leadership and Visionet leads</w:t>
            </w:r>
          </w:p>
        </w:tc>
      </w:tr>
      <w:tr>
        <w:tc>
          <w:tcPr>
            <w:tcW w:type="dxa" w:w="1816"/>
            <w:shd w:val="clear" w:color="auto" w:fill="F3F5F8"/>
          </w:tcPr>
          <w:p>
            <w:r/>
            <w:r>
              <w:rPr>
                <w:sz w:val="18"/>
              </w:rPr>
              <w:t>Store-ops call</w:t>
            </w:r>
          </w:p>
        </w:tc>
        <w:tc>
          <w:tcPr>
            <w:tcW w:type="dxa" w:w="1476"/>
            <w:shd w:val="clear" w:color="auto" w:fill="F3F5F8"/>
          </w:tcPr>
          <w:p>
            <w:r/>
            <w:r>
              <w:rPr>
                <w:sz w:val="18"/>
              </w:rPr>
              <w:t>Daily during waves</w:t>
            </w:r>
          </w:p>
        </w:tc>
        <w:tc>
          <w:tcPr>
            <w:tcW w:type="dxa" w:w="1816"/>
            <w:shd w:val="clear" w:color="auto" w:fill="F3F5F8"/>
          </w:tcPr>
          <w:p>
            <w:r/>
            <w:r>
              <w:rPr>
                <w:sz w:val="18"/>
              </w:rPr>
              <w:t>Kavya Iyer</w:t>
            </w:r>
          </w:p>
        </w:tc>
        <w:tc>
          <w:tcPr>
            <w:tcW w:type="dxa" w:w="4540"/>
            <w:shd w:val="clear" w:color="auto" w:fill="F3F5F8"/>
          </w:tcPr>
          <w:p>
            <w:r/>
            <w:r>
              <w:rPr>
                <w:sz w:val="18"/>
              </w:rPr>
              <w:t>District managers, service desk</w:t>
            </w:r>
          </w:p>
        </w:tc>
      </w:tr>
    </w:tbl>
    <w:p>
      <w:pPr>
        <w:spacing w:after="40"/>
      </w:pPr>
    </w:p>
    <w:p>
      <w:pPr>
        <w:pStyle w:val="Heading1"/>
      </w:pPr>
      <w:r>
        <w:t>4. Success measures</w:t>
      </w:r>
    </w:p>
    <w:p>
      <w:pPr>
        <w:pStyle w:val="ListBullet"/>
        <w:spacing w:after="40"/>
      </w:pPr>
      <w:r>
        <w:rPr/>
        <w:t>Checkout time: baseline 94 seconds; target 80 seconds (wave 1 achieved 77 seconds, -18%).</w:t>
      </w:r>
    </w:p>
    <w:p>
      <w:pPr>
        <w:pStyle w:val="ListBullet"/>
        <w:spacing w:after="40"/>
      </w:pPr>
      <w:r>
        <w:rPr/>
        <w:t>POS availability: 99.5% per store per month.</w:t>
      </w:r>
    </w:p>
    <w:p>
      <w:pPr>
        <w:pStyle w:val="ListBullet"/>
        <w:spacing w:after="40"/>
      </w:pPr>
      <w:r>
        <w:rPr/>
        <w:t>Loyalty data accuracy: 99.9% of member records reconciled.</w:t>
      </w:r>
    </w:p>
    <w:p>
      <w:pPr>
        <w:pStyle w:val="Heading1"/>
      </w:pPr>
      <w:r>
        <w:t>5. Change log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3"/>
        <w:gridCol w:w="1252"/>
        <w:gridCol w:w="1252"/>
        <w:gridCol w:w="5638"/>
      </w:tblGrid>
      <w:tr>
        <w:trPr>
          <w:tblHeader w:val="true"/>
        </w:trPr>
        <w:tc>
          <w:tcPr>
            <w:tcW w:type="dxa" w:w="1504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1253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253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63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CO-01</w:t>
            </w:r>
          </w:p>
        </w:tc>
        <w:tc>
          <w:tcPr>
            <w:tcW w:type="dxa" w:w="1253"/>
          </w:tcPr>
          <w:p>
            <w:r/>
            <w:r>
              <w:rPr>
                <w:sz w:val="18"/>
              </w:rPr>
              <w:t>Sep 2025</w:t>
            </w:r>
          </w:p>
        </w:tc>
        <w:tc>
          <w:tcPr>
            <w:tcW w:type="dxa" w:w="1253"/>
          </w:tcPr>
          <w:p>
            <w:r/>
            <w:r>
              <w:rPr>
                <w:sz w:val="18"/>
              </w:rPr>
              <w:t>$750,000</w:t>
            </w:r>
          </w:p>
        </w:tc>
        <w:tc>
          <w:tcPr>
            <w:tcW w:type="dxa" w:w="5638"/>
          </w:tcPr>
          <w:p>
            <w:r/>
            <w:r>
              <w:rPr>
                <w:sz w:val="18"/>
              </w:rPr>
              <w:t>Loyalty data migration added to wave 2</w:t>
            </w:r>
          </w:p>
        </w:tc>
      </w:tr>
      <w:tr>
        <w:tc>
          <w:tcPr>
            <w:tcW w:type="dxa" w:w="1504"/>
            <w:shd w:val="clear" w:color="auto" w:fill="F3F5F8"/>
          </w:tcPr>
          <w:p>
            <w:r/>
            <w:r>
              <w:rPr>
                <w:sz w:val="18"/>
              </w:rPr>
              <w:t>CO-02</w:t>
            </w:r>
          </w:p>
        </w:tc>
        <w:tc>
          <w:tcPr>
            <w:tcW w:type="dxa" w:w="1253"/>
            <w:shd w:val="clear" w:color="auto" w:fill="F3F5F8"/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1253"/>
            <w:shd w:val="clear" w:color="auto" w:fill="F3F5F8"/>
          </w:tcPr>
          <w:p>
            <w:r/>
            <w:r>
              <w:rPr>
                <w:sz w:val="18"/>
              </w:rPr>
              <w:t>$450,000</w:t>
            </w:r>
          </w:p>
        </w:tc>
        <w:tc>
          <w:tcPr>
            <w:tcW w:type="dxa" w:w="5638"/>
            <w:shd w:val="clear" w:color="auto" w:fill="F3F5F8"/>
          </w:tcPr>
          <w:p>
            <w:r/>
            <w:r>
              <w:rPr>
                <w:sz w:val="18"/>
              </w:rPr>
              <w:t>Self-checkout lanes for 220 wave 3 stores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8"/>
              </w:rPr>
              <w:t>CR (proposed)</w:t>
            </w:r>
          </w:p>
        </w:tc>
        <w:tc>
          <w:tcPr>
            <w:tcW w:type="dxa" w:w="1253"/>
          </w:tcPr>
          <w:p>
            <w:r/>
            <w:r>
              <w:rPr>
                <w:sz w:val="18"/>
              </w:rPr>
              <w:t>Aug 2026</w:t>
            </w:r>
          </w:p>
        </w:tc>
        <w:tc>
          <w:tcPr>
            <w:tcW w:type="dxa" w:w="1253"/>
          </w:tcPr>
          <w:p>
            <w:r/>
            <w:r>
              <w:rPr>
                <w:sz w:val="18"/>
              </w:rPr>
              <w:t>$380,000</w:t>
            </w:r>
          </w:p>
        </w:tc>
        <w:tc>
          <w:tcPr>
            <w:tcW w:type="dxa" w:w="5638"/>
          </w:tcPr>
          <w:p>
            <w:r/>
            <w:r>
              <w:rPr>
                <w:sz w:val="18"/>
              </w:rPr>
              <w:t>Wave 3 rollout extension - OPP-24103 (on hold)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Northwind Store Modernisation - Programme Charter</w:t>
    </w:r>
    <w:r>
      <w:tab/>
      <w:tab/>
    </w:r>
    <w:r>
      <w:rPr>
        <w:b/>
        <w:color w:val="C0392B"/>
        <w:sz w:val="16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Store Modernisation - Programme Charter</dc:title>
  <dc:subject>PRG-2001  |  Version 2.3 (re-baselined after change order CO-02)</dc:subject>
  <dc:creator>Kavya Iyer</dc:creator>
  <cp:keywords>Enterprise IQ</cp:keywords>
  <dc:description>Fictitious data for testing - Enterprise IQ test corpus</dc:description>
  <cp:lastModifiedBy>Kavya Iyer</cp:lastModifiedBy>
  <cp:revision>1</cp:revision>
  <dcterms:created xsi:type="dcterms:W3CDTF">2026-03-16T09:00:00Z</dcterms:created>
  <dcterms:modified xsi:type="dcterms:W3CDTF">2013-12-23T23:15:00Z</dcterms:modified>
  <cp:category>Confidential</cp:category>
</cp:coreProperties>
</file>